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0663" w14:textId="0AC9CDE8" w:rsidR="00A5435F" w:rsidRPr="00E07B7E" w:rsidRDefault="0059484D" w:rsidP="001659DC">
      <w:pPr>
        <w:spacing w:line="360" w:lineRule="auto"/>
        <w:jc w:val="center"/>
        <w:rPr>
          <w:rFonts w:ascii="Times New Roman" w:hAnsi="Times New Roman" w:cs="Times New Roman"/>
          <w:b/>
          <w:sz w:val="28"/>
          <w:szCs w:val="28"/>
        </w:rPr>
      </w:pPr>
      <w:r w:rsidRPr="00E07B7E">
        <w:rPr>
          <w:rFonts w:ascii="Times New Roman" w:hAnsi="Times New Roman" w:cs="Times New Roman"/>
          <w:b/>
          <w:sz w:val="28"/>
          <w:szCs w:val="28"/>
        </w:rPr>
        <w:t>Assessing</w:t>
      </w:r>
      <w:r w:rsidR="00DD4532" w:rsidRPr="00E07B7E">
        <w:rPr>
          <w:rFonts w:ascii="Times New Roman" w:hAnsi="Times New Roman" w:cs="Times New Roman"/>
          <w:b/>
          <w:sz w:val="28"/>
          <w:szCs w:val="28"/>
        </w:rPr>
        <w:t xml:space="preserve"> the effectiveness of</w:t>
      </w:r>
      <w:r w:rsidR="001162C5" w:rsidRPr="00E07B7E">
        <w:rPr>
          <w:rFonts w:ascii="Times New Roman" w:hAnsi="Times New Roman" w:cs="Times New Roman"/>
          <w:b/>
          <w:sz w:val="28"/>
          <w:szCs w:val="28"/>
        </w:rPr>
        <w:t xml:space="preserve"> </w:t>
      </w:r>
      <w:r w:rsidR="00C06C02" w:rsidRPr="00E07B7E">
        <w:rPr>
          <w:rFonts w:ascii="Times New Roman" w:hAnsi="Times New Roman" w:cs="Times New Roman"/>
          <w:b/>
          <w:sz w:val="28"/>
          <w:szCs w:val="28"/>
        </w:rPr>
        <w:t>non-</w:t>
      </w:r>
      <w:proofErr w:type="gramStart"/>
      <w:r w:rsidR="001200D8" w:rsidRPr="00E07B7E">
        <w:rPr>
          <w:rFonts w:ascii="Times New Roman" w:hAnsi="Times New Roman" w:cs="Times New Roman"/>
          <w:b/>
          <w:sz w:val="28"/>
          <w:szCs w:val="28"/>
        </w:rPr>
        <w:t>state based</w:t>
      </w:r>
      <w:proofErr w:type="gramEnd"/>
      <w:r w:rsidR="00C06C02" w:rsidRPr="00E07B7E">
        <w:rPr>
          <w:rFonts w:ascii="Times New Roman" w:hAnsi="Times New Roman" w:cs="Times New Roman"/>
          <w:b/>
          <w:sz w:val="28"/>
          <w:szCs w:val="28"/>
        </w:rPr>
        <w:t xml:space="preserve"> grievance mechanisms </w:t>
      </w:r>
      <w:r w:rsidR="00DD4532" w:rsidRPr="00E07B7E">
        <w:rPr>
          <w:rFonts w:ascii="Times New Roman" w:hAnsi="Times New Roman" w:cs="Times New Roman"/>
          <w:b/>
          <w:sz w:val="28"/>
          <w:szCs w:val="28"/>
        </w:rPr>
        <w:t>in providing</w:t>
      </w:r>
      <w:r w:rsidR="00C06C02" w:rsidRPr="00E07B7E">
        <w:rPr>
          <w:rFonts w:ascii="Times New Roman" w:hAnsi="Times New Roman" w:cs="Times New Roman"/>
          <w:b/>
          <w:sz w:val="28"/>
          <w:szCs w:val="28"/>
        </w:rPr>
        <w:t xml:space="preserve"> </w:t>
      </w:r>
      <w:r w:rsidR="00DD4532" w:rsidRPr="00E07B7E">
        <w:rPr>
          <w:rFonts w:ascii="Times New Roman" w:hAnsi="Times New Roman" w:cs="Times New Roman"/>
          <w:b/>
          <w:sz w:val="28"/>
          <w:szCs w:val="28"/>
        </w:rPr>
        <w:t>access to r</w:t>
      </w:r>
      <w:r w:rsidR="00C06C02" w:rsidRPr="00E07B7E">
        <w:rPr>
          <w:rFonts w:ascii="Times New Roman" w:hAnsi="Times New Roman" w:cs="Times New Roman"/>
          <w:b/>
          <w:sz w:val="28"/>
          <w:szCs w:val="28"/>
        </w:rPr>
        <w:t>emedy</w:t>
      </w:r>
      <w:r w:rsidR="001162C5" w:rsidRPr="00E07B7E">
        <w:rPr>
          <w:rFonts w:ascii="Times New Roman" w:hAnsi="Times New Roman" w:cs="Times New Roman"/>
          <w:b/>
          <w:sz w:val="28"/>
          <w:szCs w:val="28"/>
        </w:rPr>
        <w:t xml:space="preserve"> for r</w:t>
      </w:r>
      <w:r w:rsidR="00C06C02" w:rsidRPr="00E07B7E">
        <w:rPr>
          <w:rFonts w:ascii="Times New Roman" w:hAnsi="Times New Roman" w:cs="Times New Roman"/>
          <w:b/>
          <w:sz w:val="28"/>
          <w:szCs w:val="28"/>
        </w:rPr>
        <w:t>ightsholders: A case study of t</w:t>
      </w:r>
      <w:r w:rsidR="00DB30F2" w:rsidRPr="00E07B7E">
        <w:rPr>
          <w:rFonts w:ascii="Times New Roman" w:hAnsi="Times New Roman" w:cs="Times New Roman"/>
          <w:b/>
          <w:sz w:val="28"/>
          <w:szCs w:val="28"/>
        </w:rPr>
        <w:t xml:space="preserve">he Roundtable </w:t>
      </w:r>
      <w:r w:rsidR="00AB1725">
        <w:rPr>
          <w:rFonts w:ascii="Times New Roman" w:hAnsi="Times New Roman" w:cs="Times New Roman"/>
          <w:b/>
          <w:sz w:val="28"/>
          <w:szCs w:val="28"/>
        </w:rPr>
        <w:t>on Sustainable</w:t>
      </w:r>
      <w:r w:rsidR="00DB30F2" w:rsidRPr="00E07B7E">
        <w:rPr>
          <w:rFonts w:ascii="Times New Roman" w:hAnsi="Times New Roman" w:cs="Times New Roman"/>
          <w:b/>
          <w:sz w:val="28"/>
          <w:szCs w:val="28"/>
        </w:rPr>
        <w:t xml:space="preserve"> Palm Oil</w:t>
      </w:r>
    </w:p>
    <w:p w14:paraId="333E87D6" w14:textId="23CB0D3F" w:rsidR="009F07E8" w:rsidRDefault="007A49A5"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Abstract</w:t>
      </w:r>
    </w:p>
    <w:p w14:paraId="452D38FC" w14:textId="5A6984E9" w:rsidR="006E3772" w:rsidRPr="006B0493" w:rsidRDefault="006E3772" w:rsidP="001659DC">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article explores different approaches to </w:t>
      </w:r>
      <w:r w:rsidRPr="00D17066">
        <w:rPr>
          <w:rFonts w:ascii="Times New Roman" w:hAnsi="Times New Roman" w:cs="Times New Roman"/>
          <w:sz w:val="24"/>
          <w:szCs w:val="24"/>
        </w:rPr>
        <w:t>assess</w:t>
      </w:r>
      <w:r>
        <w:rPr>
          <w:rFonts w:ascii="Times New Roman" w:hAnsi="Times New Roman" w:cs="Times New Roman"/>
          <w:sz w:val="24"/>
          <w:szCs w:val="24"/>
        </w:rPr>
        <w:t xml:space="preserve">ing the effectiveness of </w:t>
      </w:r>
      <w:r w:rsidRPr="001A082B">
        <w:rPr>
          <w:rFonts w:ascii="Times New Roman" w:hAnsi="Times New Roman" w:cs="Times New Roman"/>
          <w:sz w:val="24"/>
          <w:szCs w:val="24"/>
        </w:rPr>
        <w:t xml:space="preserve">non-state based non-judicial grievance mechanisms </w:t>
      </w:r>
      <w:r>
        <w:rPr>
          <w:rFonts w:ascii="Times New Roman" w:hAnsi="Times New Roman" w:cs="Times New Roman"/>
          <w:sz w:val="24"/>
          <w:szCs w:val="24"/>
        </w:rPr>
        <w:t xml:space="preserve">(NSBGMs) in achieving access to remedy for rightsholders. It queries the approach </w:t>
      </w:r>
      <w:r w:rsidR="006A36D2">
        <w:rPr>
          <w:rFonts w:ascii="Times New Roman" w:hAnsi="Times New Roman" w:cs="Times New Roman"/>
          <w:sz w:val="24"/>
          <w:szCs w:val="24"/>
        </w:rPr>
        <w:t xml:space="preserve">which has been widely </w:t>
      </w:r>
      <w:r>
        <w:rPr>
          <w:rFonts w:ascii="Times New Roman" w:hAnsi="Times New Roman" w:cs="Times New Roman"/>
          <w:sz w:val="24"/>
          <w:szCs w:val="24"/>
        </w:rPr>
        <w:t xml:space="preserve">adopted </w:t>
      </w:r>
      <w:proofErr w:type="gramStart"/>
      <w:r w:rsidR="006A36D2">
        <w:rPr>
          <w:rFonts w:ascii="Times New Roman" w:hAnsi="Times New Roman" w:cs="Times New Roman"/>
          <w:sz w:val="24"/>
          <w:szCs w:val="24"/>
        </w:rPr>
        <w:t>as a result of</w:t>
      </w:r>
      <w:proofErr w:type="gramEnd"/>
      <w:r>
        <w:rPr>
          <w:rFonts w:ascii="Times New Roman" w:hAnsi="Times New Roman" w:cs="Times New Roman"/>
          <w:sz w:val="24"/>
          <w:szCs w:val="24"/>
        </w:rPr>
        <w:t xml:space="preserve"> the </w:t>
      </w:r>
      <w:r w:rsidRPr="00E07B7E">
        <w:rPr>
          <w:rFonts w:ascii="Times New Roman" w:hAnsi="Times New Roman" w:cs="Times New Roman"/>
          <w:sz w:val="24"/>
          <w:szCs w:val="24"/>
        </w:rPr>
        <w:t>United Nations Guiding Principles on Business and Human Rights</w:t>
      </w:r>
      <w:r>
        <w:rPr>
          <w:rFonts w:ascii="Times New Roman" w:hAnsi="Times New Roman" w:cs="Times New Roman"/>
          <w:sz w:val="24"/>
          <w:szCs w:val="24"/>
        </w:rPr>
        <w:t xml:space="preserve"> (UNGPs)</w:t>
      </w:r>
      <w:r w:rsidR="006A36D2">
        <w:rPr>
          <w:rFonts w:ascii="Times New Roman" w:hAnsi="Times New Roman" w:cs="Times New Roman"/>
          <w:sz w:val="24"/>
          <w:szCs w:val="24"/>
        </w:rPr>
        <w:t>. This</w:t>
      </w:r>
      <w:r>
        <w:rPr>
          <w:rFonts w:ascii="Times New Roman" w:hAnsi="Times New Roman" w:cs="Times New Roman"/>
          <w:sz w:val="24"/>
          <w:szCs w:val="24"/>
        </w:rPr>
        <w:t xml:space="preserve"> </w:t>
      </w:r>
      <w:r w:rsidRPr="001A082B">
        <w:rPr>
          <w:rFonts w:ascii="Times New Roman" w:hAnsi="Times New Roman" w:cs="Times New Roman"/>
          <w:sz w:val="24"/>
          <w:szCs w:val="24"/>
          <w:lang w:val="en-GB"/>
        </w:rPr>
        <w:t>focus</w:t>
      </w:r>
      <w:r>
        <w:rPr>
          <w:rFonts w:ascii="Times New Roman" w:hAnsi="Times New Roman" w:cs="Times New Roman"/>
          <w:sz w:val="24"/>
          <w:szCs w:val="24"/>
          <w:lang w:val="en-GB"/>
        </w:rPr>
        <w:t>es</w:t>
      </w:r>
      <w:r w:rsidRPr="001A082B">
        <w:rPr>
          <w:rFonts w:ascii="Times New Roman" w:hAnsi="Times New Roman" w:cs="Times New Roman"/>
          <w:sz w:val="24"/>
          <w:szCs w:val="24"/>
          <w:lang w:val="en-GB"/>
        </w:rPr>
        <w:t xml:space="preserve"> on the procedural aspects of grievance mechanisms</w:t>
      </w:r>
      <w:r>
        <w:rPr>
          <w:rFonts w:ascii="Times New Roman" w:hAnsi="Times New Roman" w:cs="Times New Roman"/>
          <w:sz w:val="24"/>
          <w:szCs w:val="24"/>
        </w:rPr>
        <w:t xml:space="preserve">. Rather, it stresses the importance of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the outcomes of cases for rightsholders. It tes</w:t>
      </w:r>
      <w:r w:rsidR="00111EBE">
        <w:rPr>
          <w:rFonts w:ascii="Times New Roman" w:hAnsi="Times New Roman" w:cs="Times New Roman"/>
          <w:sz w:val="24"/>
          <w:szCs w:val="24"/>
        </w:rPr>
        <w:t xml:space="preserve">ts out this hypothesis </w:t>
      </w:r>
      <w:r w:rsidR="0099742A">
        <w:rPr>
          <w:rFonts w:ascii="Times New Roman" w:hAnsi="Times New Roman" w:cs="Times New Roman"/>
          <w:sz w:val="24"/>
          <w:szCs w:val="24"/>
        </w:rPr>
        <w:t xml:space="preserve">by undertaking comprehensive </w:t>
      </w:r>
      <w:r>
        <w:rPr>
          <w:rFonts w:ascii="Times New Roman" w:hAnsi="Times New Roman" w:cs="Times New Roman"/>
          <w:sz w:val="24"/>
          <w:szCs w:val="24"/>
        </w:rPr>
        <w:t>empirical research into the Roundtable on Sustainable Palm Oil’s complaint mechanism. RSPO is found to perform</w:t>
      </w:r>
      <w:r w:rsidRPr="00E07B7E">
        <w:rPr>
          <w:rFonts w:ascii="Times New Roman" w:hAnsi="Times New Roman" w:cs="Times New Roman"/>
          <w:sz w:val="24"/>
          <w:szCs w:val="24"/>
        </w:rPr>
        <w:t xml:space="preserve"> </w:t>
      </w:r>
      <w:r>
        <w:rPr>
          <w:rFonts w:ascii="Times New Roman" w:hAnsi="Times New Roman" w:cs="Times New Roman"/>
          <w:sz w:val="24"/>
          <w:szCs w:val="24"/>
        </w:rPr>
        <w:t xml:space="preserve">well when judged </w:t>
      </w:r>
      <w:r w:rsidR="006A36D2">
        <w:rPr>
          <w:rFonts w:ascii="Times New Roman" w:hAnsi="Times New Roman" w:cs="Times New Roman"/>
          <w:sz w:val="24"/>
          <w:szCs w:val="24"/>
        </w:rPr>
        <w:t>according to</w:t>
      </w:r>
      <w:r>
        <w:rPr>
          <w:rFonts w:ascii="Times New Roman" w:hAnsi="Times New Roman" w:cs="Times New Roman"/>
          <w:sz w:val="24"/>
          <w:szCs w:val="24"/>
        </w:rPr>
        <w:t xml:space="preserve"> the UNGPs’ effectiveness criteria. B</w:t>
      </w:r>
      <w:r w:rsidRPr="00E07B7E">
        <w:rPr>
          <w:rFonts w:ascii="Times New Roman" w:hAnsi="Times New Roman" w:cs="Times New Roman"/>
          <w:sz w:val="24"/>
          <w:szCs w:val="24"/>
        </w:rPr>
        <w:t xml:space="preserve">ut </w:t>
      </w:r>
      <w:r>
        <w:rPr>
          <w:rFonts w:ascii="Times New Roman" w:hAnsi="Times New Roman" w:cs="Times New Roman"/>
          <w:sz w:val="24"/>
          <w:szCs w:val="24"/>
        </w:rPr>
        <w:t xml:space="preserve">it performs poorly </w:t>
      </w:r>
      <w:r w:rsidR="00946FF2">
        <w:rPr>
          <w:rFonts w:ascii="Times New Roman" w:hAnsi="Times New Roman" w:cs="Times New Roman"/>
          <w:sz w:val="24"/>
          <w:szCs w:val="24"/>
        </w:rPr>
        <w:t>when individual cases are assessed to ascertain</w:t>
      </w:r>
      <w:r>
        <w:rPr>
          <w:rFonts w:ascii="Times New Roman" w:hAnsi="Times New Roman" w:cs="Times New Roman"/>
          <w:sz w:val="24"/>
          <w:szCs w:val="24"/>
        </w:rPr>
        <w:t xml:space="preserve"> the out</w:t>
      </w:r>
      <w:r w:rsidR="00946FF2">
        <w:rPr>
          <w:rFonts w:ascii="Times New Roman" w:hAnsi="Times New Roman" w:cs="Times New Roman"/>
          <w:sz w:val="24"/>
          <w:szCs w:val="24"/>
        </w:rPr>
        <w:t>comes that are</w:t>
      </w:r>
      <w:r>
        <w:rPr>
          <w:rFonts w:ascii="Times New Roman" w:hAnsi="Times New Roman" w:cs="Times New Roman"/>
          <w:sz w:val="24"/>
          <w:szCs w:val="24"/>
        </w:rPr>
        <w:t xml:space="preserve"> a</w:t>
      </w:r>
      <w:r w:rsidR="00946FF2">
        <w:rPr>
          <w:rFonts w:ascii="Times New Roman" w:hAnsi="Times New Roman" w:cs="Times New Roman"/>
          <w:sz w:val="24"/>
          <w:szCs w:val="24"/>
        </w:rPr>
        <w:t>chieved</w:t>
      </w:r>
      <w:r>
        <w:rPr>
          <w:rFonts w:ascii="Times New Roman" w:hAnsi="Times New Roman" w:cs="Times New Roman"/>
          <w:sz w:val="24"/>
          <w:szCs w:val="24"/>
        </w:rPr>
        <w:t xml:space="preserve"> for rightsholders. The article therefore argues for the importance of equivalent </w:t>
      </w:r>
      <w:r w:rsidR="00946FF2">
        <w:rPr>
          <w:rFonts w:ascii="Times New Roman" w:hAnsi="Times New Roman" w:cs="Times New Roman"/>
          <w:sz w:val="24"/>
          <w:szCs w:val="24"/>
        </w:rPr>
        <w:t xml:space="preserve">scrutiny of </w:t>
      </w:r>
      <w:r w:rsidR="006119D0">
        <w:rPr>
          <w:rFonts w:ascii="Times New Roman" w:hAnsi="Times New Roman" w:cs="Times New Roman"/>
          <w:sz w:val="24"/>
          <w:szCs w:val="24"/>
        </w:rPr>
        <w:t xml:space="preserve">outcomes in relation to </w:t>
      </w:r>
      <w:r>
        <w:rPr>
          <w:rFonts w:ascii="Times New Roman" w:hAnsi="Times New Roman" w:cs="Times New Roman"/>
          <w:sz w:val="24"/>
          <w:szCs w:val="24"/>
        </w:rPr>
        <w:t>other NSBGMs and provides a</w:t>
      </w:r>
      <w:r w:rsidR="00366E9B">
        <w:rPr>
          <w:rFonts w:ascii="Times New Roman" w:hAnsi="Times New Roman" w:cs="Times New Roman"/>
          <w:sz w:val="24"/>
          <w:szCs w:val="24"/>
        </w:rPr>
        <w:t>n approach and accompanying</w:t>
      </w:r>
      <w:r>
        <w:rPr>
          <w:rFonts w:ascii="Times New Roman" w:hAnsi="Times New Roman" w:cs="Times New Roman"/>
          <w:sz w:val="24"/>
          <w:szCs w:val="24"/>
        </w:rPr>
        <w:t xml:space="preserve"> methodology that can be </w:t>
      </w:r>
      <w:proofErr w:type="spellStart"/>
      <w:r>
        <w:rPr>
          <w:rFonts w:ascii="Times New Roman" w:hAnsi="Times New Roman" w:cs="Times New Roman"/>
          <w:sz w:val="24"/>
          <w:szCs w:val="24"/>
        </w:rPr>
        <w:t>utilised</w:t>
      </w:r>
      <w:proofErr w:type="spellEnd"/>
      <w:r w:rsidRPr="001A082B">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111EBE">
        <w:rPr>
          <w:rFonts w:ascii="Times New Roman" w:hAnsi="Times New Roman" w:cs="Times New Roman"/>
          <w:sz w:val="24"/>
          <w:szCs w:val="24"/>
        </w:rPr>
        <w:t>that</w:t>
      </w:r>
      <w:r w:rsidRPr="001A082B">
        <w:rPr>
          <w:rFonts w:ascii="Times New Roman" w:hAnsi="Times New Roman" w:cs="Times New Roman"/>
          <w:sz w:val="24"/>
          <w:szCs w:val="24"/>
        </w:rPr>
        <w:t xml:space="preserve"> purpose</w:t>
      </w:r>
      <w:r>
        <w:rPr>
          <w:rFonts w:ascii="Times New Roman" w:hAnsi="Times New Roman" w:cs="Times New Roman"/>
          <w:sz w:val="24"/>
          <w:szCs w:val="24"/>
        </w:rPr>
        <w:t>.</w:t>
      </w:r>
    </w:p>
    <w:p w14:paraId="7D32F2C1" w14:textId="2879BD5C" w:rsidR="006E3772" w:rsidRPr="00E07B7E" w:rsidRDefault="006E3772" w:rsidP="001659DC">
      <w:pPr>
        <w:spacing w:line="360" w:lineRule="auto"/>
        <w:rPr>
          <w:rFonts w:ascii="Times New Roman" w:hAnsi="Times New Roman" w:cs="Times New Roman"/>
          <w:b/>
          <w:sz w:val="24"/>
          <w:szCs w:val="24"/>
        </w:rPr>
      </w:pPr>
    </w:p>
    <w:p w14:paraId="282B953A" w14:textId="5CABCA01" w:rsidR="00DB30F2" w:rsidRPr="001659DC" w:rsidRDefault="007A49A5" w:rsidP="001659DC">
      <w:pPr>
        <w:pStyle w:val="ListParagraph"/>
        <w:numPr>
          <w:ilvl w:val="0"/>
          <w:numId w:val="1"/>
        </w:numPr>
        <w:spacing w:line="360" w:lineRule="auto"/>
        <w:jc w:val="center"/>
        <w:rPr>
          <w:rFonts w:ascii="Times New Roman" w:hAnsi="Times New Roman" w:cs="Times New Roman"/>
          <w:smallCaps/>
          <w:sz w:val="28"/>
          <w:szCs w:val="28"/>
        </w:rPr>
      </w:pPr>
      <w:r w:rsidRPr="001659DC">
        <w:rPr>
          <w:rFonts w:ascii="Times New Roman" w:hAnsi="Times New Roman" w:cs="Times New Roman"/>
          <w:smallCaps/>
          <w:sz w:val="28"/>
          <w:szCs w:val="28"/>
        </w:rPr>
        <w:t>Introduction</w:t>
      </w:r>
    </w:p>
    <w:p w14:paraId="0259E3E8" w14:textId="77777777" w:rsidR="00DB30F2" w:rsidRPr="00E07B7E" w:rsidRDefault="00DB30F2" w:rsidP="001659DC">
      <w:pPr>
        <w:pStyle w:val="ListParagraph"/>
        <w:spacing w:line="360" w:lineRule="auto"/>
        <w:ind w:left="1080"/>
        <w:rPr>
          <w:rFonts w:ascii="Times New Roman" w:hAnsi="Times New Roman" w:cs="Times New Roman"/>
          <w:b/>
          <w:sz w:val="24"/>
          <w:szCs w:val="24"/>
        </w:rPr>
      </w:pPr>
    </w:p>
    <w:p w14:paraId="53698039" w14:textId="57EC4DC7" w:rsidR="00913556" w:rsidRPr="00E07B7E" w:rsidRDefault="00412252"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International human rig</w:t>
      </w:r>
      <w:r w:rsidR="002A18B3" w:rsidRPr="00E07B7E">
        <w:rPr>
          <w:rFonts w:ascii="Times New Roman" w:hAnsi="Times New Roman" w:cs="Times New Roman"/>
          <w:sz w:val="24"/>
          <w:szCs w:val="24"/>
        </w:rPr>
        <w:t>hts law has often</w:t>
      </w:r>
      <w:r w:rsidRPr="00E07B7E">
        <w:rPr>
          <w:rFonts w:ascii="Times New Roman" w:hAnsi="Times New Roman" w:cs="Times New Roman"/>
          <w:sz w:val="24"/>
          <w:szCs w:val="24"/>
        </w:rPr>
        <w:t xml:space="preserve"> struggled t</w:t>
      </w:r>
      <w:r w:rsidR="00AB529A" w:rsidRPr="00E07B7E">
        <w:rPr>
          <w:rFonts w:ascii="Times New Roman" w:hAnsi="Times New Roman" w:cs="Times New Roman"/>
          <w:sz w:val="24"/>
          <w:szCs w:val="24"/>
        </w:rPr>
        <w:t>o provide effective remedies to</w:t>
      </w:r>
      <w:r w:rsidRPr="00E07B7E">
        <w:rPr>
          <w:rFonts w:ascii="Times New Roman" w:hAnsi="Times New Roman" w:cs="Times New Roman"/>
          <w:sz w:val="24"/>
          <w:szCs w:val="24"/>
        </w:rPr>
        <w:t xml:space="preserve"> victims of human rights violations.</w:t>
      </w:r>
      <w:r w:rsidR="00AB529A" w:rsidRPr="00E07B7E">
        <w:rPr>
          <w:rStyle w:val="FootnoteReference"/>
          <w:rFonts w:ascii="Times New Roman" w:hAnsi="Times New Roman" w:cs="Times New Roman"/>
          <w:sz w:val="24"/>
          <w:szCs w:val="24"/>
        </w:rPr>
        <w:footnoteReference w:id="2"/>
      </w:r>
      <w:r w:rsidR="003646FE" w:rsidRPr="00E07B7E">
        <w:rPr>
          <w:rFonts w:ascii="Times New Roman" w:hAnsi="Times New Roman" w:cs="Times New Roman"/>
          <w:sz w:val="24"/>
          <w:szCs w:val="24"/>
        </w:rPr>
        <w:t xml:space="preserve"> </w:t>
      </w:r>
      <w:r w:rsidR="00014CA8" w:rsidRPr="00E07B7E">
        <w:rPr>
          <w:rFonts w:ascii="Times New Roman" w:hAnsi="Times New Roman" w:cs="Times New Roman"/>
          <w:sz w:val="24"/>
          <w:szCs w:val="24"/>
        </w:rPr>
        <w:t>The issue of effective remedies</w:t>
      </w:r>
      <w:r w:rsidR="002A18B3" w:rsidRPr="00E07B7E">
        <w:rPr>
          <w:rFonts w:ascii="Times New Roman" w:hAnsi="Times New Roman" w:cs="Times New Roman"/>
          <w:sz w:val="24"/>
          <w:szCs w:val="24"/>
        </w:rPr>
        <w:t xml:space="preserve"> has</w:t>
      </w:r>
      <w:r w:rsidR="00AB529A" w:rsidRPr="00E07B7E">
        <w:rPr>
          <w:rFonts w:ascii="Times New Roman" w:hAnsi="Times New Roman" w:cs="Times New Roman"/>
          <w:sz w:val="24"/>
          <w:szCs w:val="24"/>
        </w:rPr>
        <w:t xml:space="preserve"> been </w:t>
      </w:r>
      <w:r w:rsidR="002A18B3" w:rsidRPr="00E07B7E">
        <w:rPr>
          <w:rFonts w:ascii="Times New Roman" w:hAnsi="Times New Roman" w:cs="Times New Roman"/>
          <w:sz w:val="24"/>
          <w:szCs w:val="24"/>
        </w:rPr>
        <w:t xml:space="preserve">identified as </w:t>
      </w:r>
      <w:r w:rsidR="00AB529A" w:rsidRPr="00E07B7E">
        <w:rPr>
          <w:rFonts w:ascii="Times New Roman" w:hAnsi="Times New Roman" w:cs="Times New Roman"/>
          <w:sz w:val="24"/>
          <w:szCs w:val="24"/>
        </w:rPr>
        <w:t xml:space="preserve">a </w:t>
      </w:r>
      <w:r w:rsidR="002A18B3" w:rsidRPr="00E07B7E">
        <w:rPr>
          <w:rFonts w:ascii="Times New Roman" w:hAnsi="Times New Roman" w:cs="Times New Roman"/>
          <w:sz w:val="24"/>
          <w:szCs w:val="24"/>
        </w:rPr>
        <w:t xml:space="preserve">particular </w:t>
      </w:r>
      <w:r w:rsidR="00AB529A" w:rsidRPr="00E07B7E">
        <w:rPr>
          <w:rFonts w:ascii="Times New Roman" w:hAnsi="Times New Roman" w:cs="Times New Roman"/>
          <w:sz w:val="24"/>
          <w:szCs w:val="24"/>
        </w:rPr>
        <w:t xml:space="preserve">problem </w:t>
      </w:r>
      <w:r w:rsidR="002A18B3" w:rsidRPr="00E07B7E">
        <w:rPr>
          <w:rFonts w:ascii="Times New Roman" w:hAnsi="Times New Roman" w:cs="Times New Roman"/>
          <w:sz w:val="24"/>
          <w:szCs w:val="24"/>
        </w:rPr>
        <w:t>with</w:t>
      </w:r>
      <w:r w:rsidR="00AB529A" w:rsidRPr="00E07B7E">
        <w:rPr>
          <w:rFonts w:ascii="Times New Roman" w:hAnsi="Times New Roman" w:cs="Times New Roman"/>
          <w:sz w:val="24"/>
          <w:szCs w:val="24"/>
        </w:rPr>
        <w:t>in the human rights and b</w:t>
      </w:r>
      <w:r w:rsidR="007B06EA" w:rsidRPr="00E07B7E">
        <w:rPr>
          <w:rFonts w:ascii="Times New Roman" w:hAnsi="Times New Roman" w:cs="Times New Roman"/>
          <w:sz w:val="24"/>
          <w:szCs w:val="24"/>
        </w:rPr>
        <w:t xml:space="preserve">usiness field. John Ruggie, in his role as UN Special Representative on human rights and transnational corporations, identified a </w:t>
      </w:r>
      <w:r w:rsidR="00F81014" w:rsidRPr="00E07B7E">
        <w:rPr>
          <w:rFonts w:ascii="Times New Roman" w:hAnsi="Times New Roman" w:cs="Times New Roman"/>
          <w:sz w:val="24"/>
          <w:szCs w:val="24"/>
        </w:rPr>
        <w:t>“</w:t>
      </w:r>
      <w:r w:rsidR="007B06EA" w:rsidRPr="00E07B7E">
        <w:rPr>
          <w:rFonts w:ascii="Times New Roman" w:hAnsi="Times New Roman" w:cs="Times New Roman"/>
          <w:sz w:val="24"/>
          <w:szCs w:val="24"/>
        </w:rPr>
        <w:t>patchwork of mechanisms</w:t>
      </w:r>
      <w:r w:rsidR="00F81014" w:rsidRPr="00E07B7E">
        <w:rPr>
          <w:rFonts w:ascii="Times New Roman" w:hAnsi="Times New Roman" w:cs="Times New Roman"/>
          <w:sz w:val="24"/>
          <w:szCs w:val="24"/>
        </w:rPr>
        <w:t>”</w:t>
      </w:r>
      <w:r w:rsidR="007B06EA" w:rsidRPr="00E07B7E">
        <w:rPr>
          <w:rFonts w:ascii="Times New Roman" w:hAnsi="Times New Roman" w:cs="Times New Roman"/>
          <w:sz w:val="24"/>
          <w:szCs w:val="24"/>
        </w:rPr>
        <w:t xml:space="preserve"> that was </w:t>
      </w:r>
      <w:r w:rsidR="00F81014" w:rsidRPr="00E07B7E">
        <w:rPr>
          <w:rFonts w:ascii="Times New Roman" w:hAnsi="Times New Roman" w:cs="Times New Roman"/>
          <w:sz w:val="24"/>
          <w:szCs w:val="24"/>
        </w:rPr>
        <w:t>“</w:t>
      </w:r>
      <w:r w:rsidR="007B06EA" w:rsidRPr="00E07B7E">
        <w:rPr>
          <w:rFonts w:ascii="Times New Roman" w:hAnsi="Times New Roman" w:cs="Times New Roman"/>
          <w:sz w:val="24"/>
          <w:szCs w:val="24"/>
        </w:rPr>
        <w:t>incomplete and flawed</w:t>
      </w:r>
      <w:r w:rsidR="00F81014" w:rsidRPr="00E07B7E">
        <w:rPr>
          <w:rFonts w:ascii="Times New Roman" w:hAnsi="Times New Roman" w:cs="Times New Roman"/>
          <w:sz w:val="24"/>
          <w:szCs w:val="24"/>
        </w:rPr>
        <w:t>.”</w:t>
      </w:r>
      <w:r w:rsidR="007B06EA" w:rsidRPr="00E07B7E">
        <w:rPr>
          <w:rStyle w:val="FootnoteReference"/>
          <w:rFonts w:ascii="Times New Roman" w:hAnsi="Times New Roman" w:cs="Times New Roman"/>
          <w:sz w:val="24"/>
          <w:szCs w:val="24"/>
        </w:rPr>
        <w:footnoteReference w:id="3"/>
      </w:r>
      <w:r w:rsidR="007B06EA" w:rsidRPr="00E07B7E">
        <w:rPr>
          <w:rFonts w:ascii="Times New Roman" w:hAnsi="Times New Roman" w:cs="Times New Roman"/>
          <w:sz w:val="24"/>
          <w:szCs w:val="24"/>
        </w:rPr>
        <w:t xml:space="preserve"> </w:t>
      </w:r>
      <w:r w:rsidR="00AB529A" w:rsidRPr="00E07B7E">
        <w:rPr>
          <w:rFonts w:ascii="Times New Roman" w:hAnsi="Times New Roman" w:cs="Times New Roman"/>
          <w:sz w:val="24"/>
          <w:szCs w:val="24"/>
        </w:rPr>
        <w:t xml:space="preserve"> </w:t>
      </w:r>
      <w:r w:rsidR="007B06EA" w:rsidRPr="00E07B7E">
        <w:rPr>
          <w:rFonts w:ascii="Times New Roman" w:hAnsi="Times New Roman" w:cs="Times New Roman"/>
          <w:sz w:val="24"/>
          <w:szCs w:val="24"/>
        </w:rPr>
        <w:t>In recognition of this problem, Ruggie</w:t>
      </w:r>
      <w:r w:rsidR="007265FE" w:rsidRPr="00E07B7E">
        <w:rPr>
          <w:rFonts w:ascii="Times New Roman" w:hAnsi="Times New Roman" w:cs="Times New Roman"/>
          <w:sz w:val="24"/>
          <w:szCs w:val="24"/>
        </w:rPr>
        <w:t xml:space="preserve"> developed the</w:t>
      </w:r>
      <w:r w:rsidR="00DB30F2" w:rsidRPr="00E07B7E">
        <w:rPr>
          <w:rFonts w:ascii="Times New Roman" w:hAnsi="Times New Roman" w:cs="Times New Roman"/>
          <w:sz w:val="24"/>
          <w:szCs w:val="24"/>
        </w:rPr>
        <w:t xml:space="preserve"> United Nations Guiding Principles on Business and Human Rights (UNGPs) </w:t>
      </w:r>
      <w:r w:rsidR="007265FE" w:rsidRPr="00E07B7E">
        <w:rPr>
          <w:rFonts w:ascii="Times New Roman" w:hAnsi="Times New Roman" w:cs="Times New Roman"/>
          <w:sz w:val="24"/>
          <w:szCs w:val="24"/>
        </w:rPr>
        <w:lastRenderedPageBreak/>
        <w:t xml:space="preserve">which, </w:t>
      </w:r>
      <w:r w:rsidR="007265FE" w:rsidRPr="00E07B7E">
        <w:rPr>
          <w:rFonts w:ascii="Times New Roman" w:hAnsi="Times New Roman" w:cs="Times New Roman"/>
          <w:i/>
          <w:sz w:val="24"/>
          <w:szCs w:val="24"/>
        </w:rPr>
        <w:t xml:space="preserve">inter alia, </w:t>
      </w:r>
      <w:r w:rsidR="00DB30F2" w:rsidRPr="00E07B7E">
        <w:rPr>
          <w:rFonts w:ascii="Times New Roman" w:hAnsi="Times New Roman" w:cs="Times New Roman"/>
          <w:sz w:val="24"/>
          <w:szCs w:val="24"/>
        </w:rPr>
        <w:t xml:space="preserve">require that companies </w:t>
      </w:r>
      <w:r w:rsidR="00A15B23" w:rsidRPr="00E07B7E">
        <w:rPr>
          <w:rFonts w:ascii="Times New Roman" w:hAnsi="Times New Roman" w:cs="Times New Roman"/>
          <w:sz w:val="24"/>
          <w:szCs w:val="24"/>
        </w:rPr>
        <w:t xml:space="preserve">establish or </w:t>
      </w:r>
      <w:r w:rsidR="00DB30F2" w:rsidRPr="00E07B7E">
        <w:rPr>
          <w:rFonts w:ascii="Times New Roman" w:hAnsi="Times New Roman" w:cs="Times New Roman"/>
          <w:sz w:val="24"/>
          <w:szCs w:val="24"/>
        </w:rPr>
        <w:t>participat</w:t>
      </w:r>
      <w:r w:rsidR="006945CE" w:rsidRPr="00E07B7E">
        <w:rPr>
          <w:rFonts w:ascii="Times New Roman" w:hAnsi="Times New Roman" w:cs="Times New Roman"/>
          <w:sz w:val="24"/>
          <w:szCs w:val="24"/>
        </w:rPr>
        <w:t>e</w:t>
      </w:r>
      <w:r w:rsidR="00DB30F2" w:rsidRPr="00E07B7E">
        <w:rPr>
          <w:rFonts w:ascii="Times New Roman" w:hAnsi="Times New Roman" w:cs="Times New Roman"/>
          <w:sz w:val="24"/>
          <w:szCs w:val="24"/>
        </w:rPr>
        <w:t xml:space="preserve"> </w:t>
      </w:r>
      <w:r w:rsidR="00F4369B" w:rsidRPr="00E07B7E">
        <w:rPr>
          <w:rFonts w:ascii="Times New Roman" w:hAnsi="Times New Roman" w:cs="Times New Roman"/>
          <w:sz w:val="24"/>
          <w:szCs w:val="24"/>
        </w:rPr>
        <w:t xml:space="preserve">in </w:t>
      </w:r>
      <w:r w:rsidR="00DB30F2" w:rsidRPr="00E07B7E">
        <w:rPr>
          <w:rFonts w:ascii="Times New Roman" w:hAnsi="Times New Roman" w:cs="Times New Roman"/>
          <w:sz w:val="24"/>
          <w:szCs w:val="24"/>
        </w:rPr>
        <w:t xml:space="preserve">mechanisms that provide access to remedy for rightsholders whose human rights have been </w:t>
      </w:r>
      <w:r w:rsidR="000D3187" w:rsidRPr="00E07B7E">
        <w:rPr>
          <w:rFonts w:ascii="Times New Roman" w:hAnsi="Times New Roman" w:cs="Times New Roman"/>
          <w:sz w:val="24"/>
          <w:szCs w:val="24"/>
        </w:rPr>
        <w:t>infringed as a result of</w:t>
      </w:r>
      <w:r w:rsidR="00916CB8" w:rsidRPr="00E07B7E">
        <w:rPr>
          <w:rFonts w:ascii="Times New Roman" w:hAnsi="Times New Roman" w:cs="Times New Roman"/>
          <w:sz w:val="24"/>
          <w:szCs w:val="24"/>
        </w:rPr>
        <w:t xml:space="preserve"> corporate actions</w:t>
      </w:r>
      <w:r w:rsidR="00014CA8" w:rsidRPr="00E07B7E">
        <w:rPr>
          <w:rFonts w:ascii="Times New Roman" w:hAnsi="Times New Roman" w:cs="Times New Roman"/>
          <w:sz w:val="24"/>
          <w:szCs w:val="24"/>
        </w:rPr>
        <w:t>.</w:t>
      </w:r>
      <w:r w:rsidR="00913556" w:rsidRPr="00E07B7E">
        <w:rPr>
          <w:rStyle w:val="FootnoteReference"/>
          <w:rFonts w:ascii="Times New Roman" w:hAnsi="Times New Roman" w:cs="Times New Roman"/>
          <w:sz w:val="24"/>
          <w:szCs w:val="24"/>
        </w:rPr>
        <w:footnoteReference w:id="4"/>
      </w:r>
      <w:r w:rsidR="00913556" w:rsidRPr="00E07B7E">
        <w:rPr>
          <w:rFonts w:ascii="Times New Roman" w:hAnsi="Times New Roman" w:cs="Times New Roman"/>
          <w:sz w:val="24"/>
          <w:szCs w:val="24"/>
        </w:rPr>
        <w:t xml:space="preserve"> This is a part of what has become known as “Access to Remedy” or the “Third Pillar” of the UNGPs. </w:t>
      </w:r>
    </w:p>
    <w:p w14:paraId="372DFDE8" w14:textId="43E58833"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According to the UNGPs, </w:t>
      </w:r>
      <w:r w:rsidR="00014CA8" w:rsidRPr="00E07B7E">
        <w:rPr>
          <w:rFonts w:ascii="Times New Roman" w:hAnsi="Times New Roman" w:cs="Times New Roman"/>
          <w:sz w:val="24"/>
          <w:szCs w:val="24"/>
        </w:rPr>
        <w:t>r</w:t>
      </w:r>
      <w:r w:rsidRPr="00E07B7E">
        <w:rPr>
          <w:rFonts w:ascii="Times New Roman" w:hAnsi="Times New Roman" w:cs="Times New Roman"/>
          <w:sz w:val="24"/>
          <w:szCs w:val="24"/>
        </w:rPr>
        <w:t xml:space="preserve">emedy can be provided by various fora. Judicial remedies are </w:t>
      </w:r>
      <w:r w:rsidR="00F81014" w:rsidRPr="00E07B7E">
        <w:rPr>
          <w:rFonts w:ascii="Times New Roman" w:hAnsi="Times New Roman" w:cs="Times New Roman"/>
          <w:sz w:val="24"/>
          <w:szCs w:val="24"/>
        </w:rPr>
        <w:t>“</w:t>
      </w:r>
      <w:r w:rsidR="00CC3658" w:rsidRPr="00E07B7E">
        <w:rPr>
          <w:rFonts w:ascii="Times New Roman" w:hAnsi="Times New Roman" w:cs="Times New Roman"/>
          <w:sz w:val="24"/>
          <w:szCs w:val="24"/>
        </w:rPr>
        <w:t>at the core</w:t>
      </w:r>
      <w:r w:rsidR="00F81014" w:rsidRPr="00E07B7E">
        <w:rPr>
          <w:rFonts w:ascii="Times New Roman" w:hAnsi="Times New Roman" w:cs="Times New Roman"/>
          <w:sz w:val="24"/>
          <w:szCs w:val="24"/>
        </w:rPr>
        <w:t>”</w:t>
      </w:r>
      <w:r w:rsidR="00CC3658" w:rsidRPr="00E07B7E">
        <w:rPr>
          <w:rFonts w:ascii="Times New Roman" w:hAnsi="Times New Roman" w:cs="Times New Roman"/>
          <w:sz w:val="24"/>
          <w:szCs w:val="24"/>
        </w:rPr>
        <w:t xml:space="preserve"> of ensuring access to remedy.</w:t>
      </w:r>
      <w:r w:rsidR="00CC3658" w:rsidRPr="00E07B7E">
        <w:rPr>
          <w:rStyle w:val="FootnoteReference"/>
          <w:rFonts w:ascii="Times New Roman" w:hAnsi="Times New Roman" w:cs="Times New Roman"/>
          <w:sz w:val="24"/>
          <w:szCs w:val="24"/>
        </w:rPr>
        <w:footnoteReference w:id="5"/>
      </w:r>
      <w:r w:rsidR="00CC3658" w:rsidRPr="00E07B7E">
        <w:rPr>
          <w:rFonts w:ascii="Times New Roman" w:hAnsi="Times New Roman" w:cs="Times New Roman"/>
          <w:sz w:val="24"/>
          <w:szCs w:val="24"/>
        </w:rPr>
        <w:t xml:space="preserve"> But </w:t>
      </w:r>
      <w:r w:rsidR="003646FE" w:rsidRPr="00E07B7E">
        <w:rPr>
          <w:rFonts w:ascii="Times New Roman" w:hAnsi="Times New Roman" w:cs="Times New Roman"/>
          <w:sz w:val="24"/>
          <w:szCs w:val="24"/>
        </w:rPr>
        <w:t>other mechanisms are</w:t>
      </w:r>
      <w:r w:rsidR="008E50F6" w:rsidRPr="00E07B7E">
        <w:rPr>
          <w:rFonts w:ascii="Times New Roman" w:hAnsi="Times New Roman" w:cs="Times New Roman"/>
          <w:sz w:val="24"/>
          <w:szCs w:val="24"/>
        </w:rPr>
        <w:t xml:space="preserve"> also identified as important. </w:t>
      </w:r>
      <w:r w:rsidRPr="00E07B7E">
        <w:rPr>
          <w:rFonts w:ascii="Times New Roman" w:hAnsi="Times New Roman" w:cs="Times New Roman"/>
          <w:sz w:val="24"/>
          <w:szCs w:val="24"/>
        </w:rPr>
        <w:t xml:space="preserve">Government-sponsored non-judicial mechanisms </w:t>
      </w:r>
      <w:r w:rsidR="00857847" w:rsidRPr="00E07B7E">
        <w:rPr>
          <w:rFonts w:ascii="Times New Roman" w:hAnsi="Times New Roman" w:cs="Times New Roman"/>
          <w:sz w:val="24"/>
          <w:szCs w:val="24"/>
        </w:rPr>
        <w:t>such as labour insp</w:t>
      </w:r>
      <w:r w:rsidR="00F664A8" w:rsidRPr="00E07B7E">
        <w:rPr>
          <w:rFonts w:ascii="Times New Roman" w:hAnsi="Times New Roman" w:cs="Times New Roman"/>
          <w:sz w:val="24"/>
          <w:szCs w:val="24"/>
        </w:rPr>
        <w:t>ectorates,</w:t>
      </w:r>
      <w:r w:rsidR="00857847" w:rsidRPr="00E07B7E">
        <w:rPr>
          <w:rFonts w:ascii="Times New Roman" w:hAnsi="Times New Roman" w:cs="Times New Roman"/>
          <w:sz w:val="24"/>
          <w:szCs w:val="24"/>
        </w:rPr>
        <w:t xml:space="preserve"> employment tribunals </w:t>
      </w:r>
      <w:r w:rsidR="00F664A8" w:rsidRPr="00E07B7E">
        <w:rPr>
          <w:rFonts w:ascii="Times New Roman" w:hAnsi="Times New Roman" w:cs="Times New Roman"/>
          <w:sz w:val="24"/>
          <w:szCs w:val="24"/>
        </w:rPr>
        <w:t xml:space="preserve">and national human rights institutions </w:t>
      </w:r>
      <w:r w:rsidR="008E50F6" w:rsidRPr="00E07B7E">
        <w:rPr>
          <w:rFonts w:ascii="Times New Roman" w:hAnsi="Times New Roman" w:cs="Times New Roman"/>
          <w:sz w:val="24"/>
          <w:szCs w:val="24"/>
        </w:rPr>
        <w:t xml:space="preserve">are identified </w:t>
      </w:r>
      <w:r w:rsidR="003646FE" w:rsidRPr="00E07B7E">
        <w:rPr>
          <w:rFonts w:ascii="Times New Roman" w:hAnsi="Times New Roman" w:cs="Times New Roman"/>
          <w:sz w:val="24"/>
          <w:szCs w:val="24"/>
        </w:rPr>
        <w:t>as playing an ‘essential role’ in complementing and supplementing judicial mechanisms</w:t>
      </w:r>
      <w:r w:rsidR="00F81014" w:rsidRPr="00E07B7E">
        <w:rPr>
          <w:rFonts w:ascii="Times New Roman" w:hAnsi="Times New Roman" w:cs="Times New Roman"/>
          <w:sz w:val="24"/>
          <w:szCs w:val="24"/>
        </w:rPr>
        <w:t>.</w:t>
      </w:r>
      <w:r w:rsidRPr="00E07B7E">
        <w:rPr>
          <w:rFonts w:ascii="Times New Roman" w:hAnsi="Times New Roman" w:cs="Times New Roman"/>
          <w:sz w:val="24"/>
          <w:szCs w:val="24"/>
        </w:rPr>
        <w:t xml:space="preserve">  </w:t>
      </w:r>
      <w:r w:rsidR="00162483" w:rsidRPr="00E07B7E">
        <w:rPr>
          <w:rFonts w:ascii="Times New Roman" w:hAnsi="Times New Roman" w:cs="Times New Roman"/>
          <w:sz w:val="24"/>
          <w:szCs w:val="24"/>
        </w:rPr>
        <w:t>T</w:t>
      </w:r>
      <w:r w:rsidRPr="00E07B7E">
        <w:rPr>
          <w:rFonts w:ascii="Times New Roman" w:hAnsi="Times New Roman" w:cs="Times New Roman"/>
          <w:sz w:val="24"/>
          <w:szCs w:val="24"/>
        </w:rPr>
        <w:t xml:space="preserve">he UNGPs </w:t>
      </w:r>
      <w:r w:rsidR="00162483" w:rsidRPr="00E07B7E">
        <w:rPr>
          <w:rFonts w:ascii="Times New Roman" w:hAnsi="Times New Roman" w:cs="Times New Roman"/>
          <w:sz w:val="24"/>
          <w:szCs w:val="24"/>
        </w:rPr>
        <w:t xml:space="preserve">also recognize a third category of </w:t>
      </w:r>
      <w:r w:rsidR="004C77A2" w:rsidRPr="00E07B7E">
        <w:rPr>
          <w:rFonts w:ascii="Times New Roman" w:hAnsi="Times New Roman" w:cs="Times New Roman"/>
          <w:sz w:val="24"/>
          <w:szCs w:val="24"/>
        </w:rPr>
        <w:t>mechanisms,</w:t>
      </w:r>
      <w:r w:rsidRPr="00E07B7E">
        <w:rPr>
          <w:rFonts w:ascii="Times New Roman" w:hAnsi="Times New Roman" w:cs="Times New Roman"/>
          <w:sz w:val="24"/>
          <w:szCs w:val="24"/>
        </w:rPr>
        <w:t xml:space="preserve"> private remedies in which the government has no direct role, so-called non-state </w:t>
      </w:r>
      <w:r w:rsidR="000375F9" w:rsidRPr="00E07B7E">
        <w:rPr>
          <w:rFonts w:ascii="Times New Roman" w:hAnsi="Times New Roman" w:cs="Times New Roman"/>
          <w:sz w:val="24"/>
          <w:szCs w:val="24"/>
        </w:rPr>
        <w:t xml:space="preserve">based </w:t>
      </w:r>
      <w:r w:rsidRPr="00E07B7E">
        <w:rPr>
          <w:rFonts w:ascii="Times New Roman" w:hAnsi="Times New Roman" w:cs="Times New Roman"/>
          <w:sz w:val="24"/>
          <w:szCs w:val="24"/>
        </w:rPr>
        <w:t>non-j</w:t>
      </w:r>
      <w:r w:rsidR="001162C5" w:rsidRPr="00E07B7E">
        <w:rPr>
          <w:rFonts w:ascii="Times New Roman" w:hAnsi="Times New Roman" w:cs="Times New Roman"/>
          <w:sz w:val="24"/>
          <w:szCs w:val="24"/>
        </w:rPr>
        <w:t>udicial grievance mechanisms (NSB</w:t>
      </w:r>
      <w:r w:rsidRPr="00E07B7E">
        <w:rPr>
          <w:rFonts w:ascii="Times New Roman" w:hAnsi="Times New Roman" w:cs="Times New Roman"/>
          <w:sz w:val="24"/>
          <w:szCs w:val="24"/>
        </w:rPr>
        <w:t>GMs). Th</w:t>
      </w:r>
      <w:r w:rsidR="002B72C9" w:rsidRPr="00E07B7E">
        <w:rPr>
          <w:rFonts w:ascii="Times New Roman" w:hAnsi="Times New Roman" w:cs="Times New Roman"/>
          <w:sz w:val="24"/>
          <w:szCs w:val="24"/>
        </w:rPr>
        <w:t>ese</w:t>
      </w:r>
      <w:r w:rsidRPr="00E07B7E">
        <w:rPr>
          <w:rFonts w:ascii="Times New Roman" w:hAnsi="Times New Roman" w:cs="Times New Roman"/>
          <w:sz w:val="24"/>
          <w:szCs w:val="24"/>
        </w:rPr>
        <w:t xml:space="preserve"> can include companies’ operational level grievance mechanisms,</w:t>
      </w:r>
      <w:r w:rsidR="00635AF7" w:rsidRPr="00E07B7E">
        <w:rPr>
          <w:rFonts w:ascii="Times New Roman" w:hAnsi="Times New Roman" w:cs="Times New Roman"/>
          <w:sz w:val="24"/>
          <w:szCs w:val="24"/>
        </w:rPr>
        <w:t xml:space="preserve"> </w:t>
      </w:r>
      <w:r w:rsidR="007265FE" w:rsidRPr="00E07B7E">
        <w:rPr>
          <w:rFonts w:ascii="Times New Roman" w:hAnsi="Times New Roman" w:cs="Times New Roman"/>
          <w:sz w:val="24"/>
          <w:szCs w:val="24"/>
        </w:rPr>
        <w:t>developme</w:t>
      </w:r>
      <w:r w:rsidR="00635AF7" w:rsidRPr="00E07B7E">
        <w:rPr>
          <w:rFonts w:ascii="Times New Roman" w:hAnsi="Times New Roman" w:cs="Times New Roman"/>
          <w:sz w:val="24"/>
          <w:szCs w:val="24"/>
        </w:rPr>
        <w:t>nt bank complaint mechanisms</w:t>
      </w:r>
      <w:r w:rsidR="00F81014" w:rsidRPr="00E07B7E">
        <w:rPr>
          <w:rFonts w:ascii="Times New Roman" w:hAnsi="Times New Roman" w:cs="Times New Roman"/>
          <w:sz w:val="24"/>
          <w:szCs w:val="24"/>
        </w:rPr>
        <w:t>, and multi-stakeholder initiative complaint mechanisms</w:t>
      </w:r>
      <w:r w:rsidR="007265FE" w:rsidRPr="00E07B7E">
        <w:rPr>
          <w:rFonts w:ascii="Times New Roman" w:hAnsi="Times New Roman" w:cs="Times New Roman"/>
          <w:sz w:val="24"/>
          <w:szCs w:val="24"/>
        </w:rPr>
        <w:t xml:space="preserve">. </w:t>
      </w:r>
      <w:r w:rsidR="006D3417">
        <w:rPr>
          <w:rFonts w:ascii="Times New Roman" w:hAnsi="Times New Roman" w:cs="Times New Roman"/>
          <w:sz w:val="24"/>
          <w:szCs w:val="24"/>
        </w:rPr>
        <w:t>An example from t</w:t>
      </w:r>
      <w:r w:rsidRPr="00E07B7E">
        <w:rPr>
          <w:rFonts w:ascii="Times New Roman" w:hAnsi="Times New Roman" w:cs="Times New Roman"/>
          <w:sz w:val="24"/>
          <w:szCs w:val="24"/>
        </w:rPr>
        <w:t xml:space="preserve">his last category of grievance mechanisms is the focus of this article. </w:t>
      </w:r>
    </w:p>
    <w:p w14:paraId="2082F42C" w14:textId="1DDA1C6B" w:rsidR="00913556" w:rsidRPr="00E07B7E" w:rsidRDefault="008E50F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There is significant debate about the potential of NSBGMs to provide access to effective remedy.</w:t>
      </w:r>
      <w:r w:rsidR="00A672B5" w:rsidRPr="00E07B7E">
        <w:rPr>
          <w:rStyle w:val="FootnoteReference"/>
          <w:rFonts w:ascii="Times New Roman" w:hAnsi="Times New Roman" w:cs="Times New Roman"/>
          <w:sz w:val="24"/>
          <w:szCs w:val="24"/>
        </w:rPr>
        <w:footnoteReference w:id="6"/>
      </w:r>
      <w:r w:rsidR="00A672B5" w:rsidRPr="00E07B7E">
        <w:rPr>
          <w:rFonts w:ascii="Times New Roman" w:hAnsi="Times New Roman" w:cs="Times New Roman"/>
          <w:b/>
          <w:sz w:val="24"/>
          <w:szCs w:val="24"/>
        </w:rPr>
        <w:t xml:space="preserve"> </w:t>
      </w:r>
      <w:r w:rsidR="003646FE" w:rsidRPr="00E07B7E">
        <w:rPr>
          <w:rFonts w:ascii="Times New Roman" w:hAnsi="Times New Roman" w:cs="Times New Roman"/>
          <w:sz w:val="24"/>
          <w:szCs w:val="24"/>
        </w:rPr>
        <w:t>But e</w:t>
      </w:r>
      <w:r w:rsidR="008A2C93" w:rsidRPr="00E07B7E">
        <w:rPr>
          <w:rFonts w:ascii="Times New Roman" w:hAnsi="Times New Roman" w:cs="Times New Roman"/>
          <w:sz w:val="24"/>
          <w:szCs w:val="24"/>
        </w:rPr>
        <w:t>mpirical inquiry as to</w:t>
      </w:r>
      <w:r w:rsidR="00C704E3" w:rsidRPr="00E07B7E">
        <w:rPr>
          <w:rFonts w:ascii="Times New Roman" w:hAnsi="Times New Roman" w:cs="Times New Roman"/>
          <w:sz w:val="24"/>
          <w:szCs w:val="24"/>
        </w:rPr>
        <w:t xml:space="preserve"> when and how NSBGMs might contribute to providing access to remedy for rightsholders remains under-explored.</w:t>
      </w:r>
      <w:r w:rsidR="00C704E3" w:rsidRPr="00E07B7E">
        <w:rPr>
          <w:rStyle w:val="FootnoteReference"/>
          <w:rFonts w:ascii="Times New Roman" w:hAnsi="Times New Roman" w:cs="Times New Roman"/>
          <w:sz w:val="24"/>
          <w:szCs w:val="24"/>
        </w:rPr>
        <w:footnoteReference w:id="7"/>
      </w:r>
      <w:r w:rsidR="00C704E3" w:rsidRPr="00E07B7E">
        <w:rPr>
          <w:rFonts w:ascii="Times New Roman" w:hAnsi="Times New Roman" w:cs="Times New Roman"/>
          <w:sz w:val="24"/>
          <w:szCs w:val="24"/>
        </w:rPr>
        <w:t xml:space="preserve"> This</w:t>
      </w:r>
      <w:r w:rsidR="00913556" w:rsidRPr="00E07B7E">
        <w:rPr>
          <w:rFonts w:ascii="Times New Roman" w:hAnsi="Times New Roman" w:cs="Times New Roman"/>
          <w:sz w:val="24"/>
          <w:szCs w:val="24"/>
        </w:rPr>
        <w:t xml:space="preserve"> article </w:t>
      </w:r>
      <w:r w:rsidR="00C704E3" w:rsidRPr="00E07B7E">
        <w:rPr>
          <w:rFonts w:ascii="Times New Roman" w:hAnsi="Times New Roman" w:cs="Times New Roman"/>
          <w:sz w:val="24"/>
          <w:szCs w:val="24"/>
        </w:rPr>
        <w:t>contributes to that debate by focusing on a critical methodological question</w:t>
      </w:r>
      <w:r w:rsidR="00F81014" w:rsidRPr="00E07B7E">
        <w:rPr>
          <w:rFonts w:ascii="Times New Roman" w:hAnsi="Times New Roman" w:cs="Times New Roman"/>
          <w:sz w:val="24"/>
          <w:szCs w:val="24"/>
        </w:rPr>
        <w:t xml:space="preserve">: </w:t>
      </w:r>
      <w:r w:rsidR="00014CA8" w:rsidRPr="00E07B7E">
        <w:rPr>
          <w:rFonts w:ascii="Times New Roman" w:hAnsi="Times New Roman" w:cs="Times New Roman"/>
          <w:sz w:val="24"/>
          <w:szCs w:val="24"/>
        </w:rPr>
        <w:t xml:space="preserve"> </w:t>
      </w:r>
      <w:r w:rsidR="00014CA8" w:rsidRPr="00437D56">
        <w:rPr>
          <w:rFonts w:ascii="Times New Roman" w:hAnsi="Times New Roman" w:cs="Times New Roman"/>
          <w:sz w:val="24"/>
          <w:szCs w:val="24"/>
        </w:rPr>
        <w:t xml:space="preserve">how </w:t>
      </w:r>
      <w:r w:rsidR="000A3E97" w:rsidRPr="0024344B">
        <w:rPr>
          <w:rFonts w:ascii="Times New Roman" w:hAnsi="Times New Roman" w:cs="Times New Roman"/>
          <w:sz w:val="24"/>
          <w:szCs w:val="24"/>
        </w:rPr>
        <w:t>should</w:t>
      </w:r>
      <w:r w:rsidR="00C704E3" w:rsidRPr="006119D0">
        <w:rPr>
          <w:rFonts w:ascii="Times New Roman" w:hAnsi="Times New Roman" w:cs="Times New Roman"/>
          <w:sz w:val="24"/>
          <w:szCs w:val="24"/>
        </w:rPr>
        <w:t xml:space="preserve"> </w:t>
      </w:r>
      <w:r w:rsidR="00014CA8" w:rsidRPr="006119D0">
        <w:rPr>
          <w:rFonts w:ascii="Times New Roman" w:hAnsi="Times New Roman" w:cs="Times New Roman"/>
          <w:sz w:val="24"/>
          <w:szCs w:val="24"/>
        </w:rPr>
        <w:t xml:space="preserve">we assess whether </w:t>
      </w:r>
      <w:r w:rsidR="002B72C9" w:rsidRPr="006119D0">
        <w:rPr>
          <w:rFonts w:ascii="Times New Roman" w:hAnsi="Times New Roman" w:cs="Times New Roman"/>
          <w:sz w:val="24"/>
          <w:szCs w:val="24"/>
        </w:rPr>
        <w:t>NSBGMs</w:t>
      </w:r>
      <w:r w:rsidR="00913556" w:rsidRPr="006119D0">
        <w:rPr>
          <w:rFonts w:ascii="Times New Roman" w:hAnsi="Times New Roman" w:cs="Times New Roman"/>
          <w:sz w:val="24"/>
          <w:szCs w:val="24"/>
        </w:rPr>
        <w:t xml:space="preserve"> </w:t>
      </w:r>
      <w:r w:rsidR="00014CA8" w:rsidRPr="006119D0">
        <w:rPr>
          <w:rFonts w:ascii="Times New Roman" w:hAnsi="Times New Roman" w:cs="Times New Roman"/>
          <w:sz w:val="24"/>
          <w:szCs w:val="24"/>
        </w:rPr>
        <w:t>are providing access to remedy for r</w:t>
      </w:r>
      <w:r w:rsidR="00C704E3" w:rsidRPr="006119D0">
        <w:rPr>
          <w:rFonts w:ascii="Times New Roman" w:hAnsi="Times New Roman" w:cs="Times New Roman"/>
          <w:sz w:val="24"/>
          <w:szCs w:val="24"/>
        </w:rPr>
        <w:t>ightsholders?</w:t>
      </w:r>
      <w:r w:rsidR="00913556" w:rsidRPr="00E07B7E">
        <w:rPr>
          <w:rFonts w:ascii="Times New Roman" w:hAnsi="Times New Roman" w:cs="Times New Roman"/>
          <w:sz w:val="24"/>
          <w:szCs w:val="24"/>
        </w:rPr>
        <w:t xml:space="preserve"> </w:t>
      </w:r>
      <w:r w:rsidR="00EF1257">
        <w:rPr>
          <w:rFonts w:ascii="Times New Roman" w:hAnsi="Times New Roman" w:cs="Times New Roman"/>
          <w:sz w:val="24"/>
          <w:szCs w:val="24"/>
        </w:rPr>
        <w:t xml:space="preserve">While </w:t>
      </w:r>
      <w:r w:rsidR="00944968">
        <w:rPr>
          <w:rFonts w:ascii="Times New Roman" w:hAnsi="Times New Roman" w:cs="Times New Roman"/>
          <w:sz w:val="24"/>
          <w:szCs w:val="24"/>
        </w:rPr>
        <w:t>there is increasing</w:t>
      </w:r>
      <w:r w:rsidR="00EF1257">
        <w:rPr>
          <w:rFonts w:ascii="Times New Roman" w:hAnsi="Times New Roman" w:cs="Times New Roman"/>
          <w:sz w:val="24"/>
          <w:szCs w:val="24"/>
        </w:rPr>
        <w:t xml:space="preserve"> recognition that access to a</w:t>
      </w:r>
      <w:r w:rsidR="0095617E">
        <w:rPr>
          <w:rFonts w:ascii="Times New Roman" w:hAnsi="Times New Roman" w:cs="Times New Roman"/>
          <w:sz w:val="24"/>
          <w:szCs w:val="24"/>
        </w:rPr>
        <w:t>n effective remedy means that complaints mechanisms</w:t>
      </w:r>
      <w:r w:rsidR="00EF1257">
        <w:rPr>
          <w:rFonts w:ascii="Times New Roman" w:hAnsi="Times New Roman" w:cs="Times New Roman"/>
          <w:sz w:val="24"/>
          <w:szCs w:val="24"/>
        </w:rPr>
        <w:t xml:space="preserve"> </w:t>
      </w:r>
      <w:r w:rsidR="0095617E" w:rsidRPr="0095617E">
        <w:rPr>
          <w:rFonts w:ascii="Times New Roman" w:hAnsi="Times New Roman" w:cs="Times New Roman"/>
          <w:sz w:val="24"/>
          <w:szCs w:val="24"/>
          <w:lang w:val="en-GB"/>
        </w:rPr>
        <w:t xml:space="preserve">should be effective in </w:t>
      </w:r>
      <w:r w:rsidR="0095617E" w:rsidRPr="0095617E">
        <w:rPr>
          <w:rFonts w:ascii="Times New Roman" w:hAnsi="Times New Roman" w:cs="Times New Roman"/>
          <w:sz w:val="24"/>
          <w:szCs w:val="24"/>
          <w:lang w:val="en-GB"/>
        </w:rPr>
        <w:lastRenderedPageBreak/>
        <w:t>terms of both process and outcome</w:t>
      </w:r>
      <w:r w:rsidR="0095617E">
        <w:rPr>
          <w:rFonts w:ascii="Times New Roman" w:hAnsi="Times New Roman" w:cs="Times New Roman"/>
          <w:sz w:val="24"/>
          <w:szCs w:val="24"/>
          <w:lang w:val="en-GB"/>
        </w:rPr>
        <w:t>, the focus of much of the existing scrutiny of complaints mechanisms is on the procedural aspects, and in particular,</w:t>
      </w:r>
      <w:r w:rsidR="0095617E" w:rsidRPr="006A3B66">
        <w:rPr>
          <w:rFonts w:ascii="Times New Roman" w:hAnsi="Times New Roman"/>
          <w:sz w:val="24"/>
          <w:lang w:val="en-GB"/>
        </w:rPr>
        <w:t xml:space="preserve"> the</w:t>
      </w:r>
      <w:r w:rsidR="00913556" w:rsidRPr="00E07B7E">
        <w:rPr>
          <w:rFonts w:ascii="Times New Roman" w:hAnsi="Times New Roman" w:cs="Times New Roman"/>
          <w:sz w:val="24"/>
          <w:szCs w:val="24"/>
        </w:rPr>
        <w:t xml:space="preserve"> </w:t>
      </w:r>
      <w:r w:rsidR="002B72C9" w:rsidRPr="00E07B7E">
        <w:rPr>
          <w:rFonts w:ascii="Times New Roman" w:hAnsi="Times New Roman" w:cs="Times New Roman"/>
          <w:sz w:val="24"/>
          <w:szCs w:val="24"/>
        </w:rPr>
        <w:t>effective</w:t>
      </w:r>
      <w:r w:rsidR="00014CA8" w:rsidRPr="00E07B7E">
        <w:rPr>
          <w:rFonts w:ascii="Times New Roman" w:hAnsi="Times New Roman" w:cs="Times New Roman"/>
          <w:sz w:val="24"/>
          <w:szCs w:val="24"/>
        </w:rPr>
        <w:t>ness criteria</w:t>
      </w:r>
      <w:r w:rsidR="00913556" w:rsidRPr="00E07B7E">
        <w:rPr>
          <w:rFonts w:ascii="Times New Roman" w:hAnsi="Times New Roman" w:cs="Times New Roman"/>
          <w:sz w:val="24"/>
          <w:szCs w:val="24"/>
        </w:rPr>
        <w:t xml:space="preserve"> </w:t>
      </w:r>
      <w:r w:rsidR="00014CA8" w:rsidRPr="00E07B7E">
        <w:rPr>
          <w:rFonts w:ascii="Times New Roman" w:hAnsi="Times New Roman" w:cs="Times New Roman"/>
          <w:sz w:val="24"/>
          <w:szCs w:val="24"/>
        </w:rPr>
        <w:t>for grievance mechanisms set out in the UNG</w:t>
      </w:r>
      <w:r w:rsidR="006B0493">
        <w:rPr>
          <w:rFonts w:ascii="Times New Roman" w:hAnsi="Times New Roman" w:cs="Times New Roman"/>
          <w:sz w:val="24"/>
          <w:szCs w:val="24"/>
        </w:rPr>
        <w:t>Ps</w:t>
      </w:r>
      <w:r w:rsidR="00B12F8E" w:rsidRPr="00E07B7E">
        <w:rPr>
          <w:rFonts w:ascii="Times New Roman" w:hAnsi="Times New Roman" w:cs="Times New Roman"/>
          <w:sz w:val="24"/>
          <w:szCs w:val="24"/>
        </w:rPr>
        <w:t xml:space="preserve">. </w:t>
      </w:r>
      <w:r w:rsidR="006A36D2">
        <w:rPr>
          <w:rFonts w:ascii="Times New Roman" w:hAnsi="Times New Roman" w:cs="Times New Roman"/>
          <w:sz w:val="24"/>
          <w:szCs w:val="24"/>
        </w:rPr>
        <w:t>This article</w:t>
      </w:r>
      <w:r w:rsidR="00B12F8E" w:rsidRPr="00E07B7E">
        <w:rPr>
          <w:rFonts w:ascii="Times New Roman" w:hAnsi="Times New Roman" w:cs="Times New Roman"/>
          <w:sz w:val="24"/>
          <w:szCs w:val="24"/>
        </w:rPr>
        <w:t xml:space="preserve"> argues</w:t>
      </w:r>
      <w:r w:rsidR="007B690F" w:rsidRPr="00E07B7E">
        <w:rPr>
          <w:rFonts w:ascii="Times New Roman" w:hAnsi="Times New Roman" w:cs="Times New Roman"/>
          <w:sz w:val="24"/>
          <w:szCs w:val="24"/>
        </w:rPr>
        <w:t xml:space="preserve"> that these </w:t>
      </w:r>
      <w:r w:rsidR="00857847" w:rsidRPr="00E07B7E">
        <w:rPr>
          <w:rFonts w:ascii="Times New Roman" w:hAnsi="Times New Roman" w:cs="Times New Roman"/>
          <w:sz w:val="24"/>
          <w:szCs w:val="24"/>
        </w:rPr>
        <w:t>are</w:t>
      </w:r>
      <w:r w:rsidR="007B690F" w:rsidRPr="00E07B7E">
        <w:rPr>
          <w:rFonts w:ascii="Times New Roman" w:hAnsi="Times New Roman" w:cs="Times New Roman"/>
          <w:sz w:val="24"/>
          <w:szCs w:val="24"/>
        </w:rPr>
        <w:t xml:space="preserve"> not sufficient to ensure</w:t>
      </w:r>
      <w:r w:rsidR="00B12F8E" w:rsidRPr="00E07B7E">
        <w:rPr>
          <w:rFonts w:ascii="Times New Roman" w:hAnsi="Times New Roman" w:cs="Times New Roman"/>
          <w:sz w:val="24"/>
          <w:szCs w:val="24"/>
        </w:rPr>
        <w:t xml:space="preserve"> a proper assessment of whether</w:t>
      </w:r>
      <w:r w:rsidR="007B690F" w:rsidRPr="00E07B7E">
        <w:rPr>
          <w:rFonts w:ascii="Times New Roman" w:hAnsi="Times New Roman" w:cs="Times New Roman"/>
          <w:sz w:val="24"/>
          <w:szCs w:val="24"/>
        </w:rPr>
        <w:t xml:space="preserve"> </w:t>
      </w:r>
      <w:r w:rsidR="00B12F8E" w:rsidRPr="00E07B7E">
        <w:rPr>
          <w:rFonts w:ascii="Times New Roman" w:hAnsi="Times New Roman" w:cs="Times New Roman"/>
          <w:sz w:val="24"/>
          <w:szCs w:val="24"/>
        </w:rPr>
        <w:t xml:space="preserve">an </w:t>
      </w:r>
      <w:r w:rsidR="007B690F" w:rsidRPr="00E07B7E">
        <w:rPr>
          <w:rFonts w:ascii="Times New Roman" w:hAnsi="Times New Roman" w:cs="Times New Roman"/>
          <w:sz w:val="24"/>
          <w:szCs w:val="24"/>
        </w:rPr>
        <w:t xml:space="preserve">effective remedy </w:t>
      </w:r>
      <w:r w:rsidR="00B12F8E" w:rsidRPr="00E07B7E">
        <w:rPr>
          <w:rFonts w:ascii="Times New Roman" w:hAnsi="Times New Roman" w:cs="Times New Roman"/>
          <w:sz w:val="24"/>
          <w:szCs w:val="24"/>
        </w:rPr>
        <w:t xml:space="preserve">is available </w:t>
      </w:r>
      <w:r w:rsidR="007B690F" w:rsidRPr="00E07B7E">
        <w:rPr>
          <w:rFonts w:ascii="Times New Roman" w:hAnsi="Times New Roman" w:cs="Times New Roman"/>
          <w:sz w:val="24"/>
          <w:szCs w:val="24"/>
        </w:rPr>
        <w:t>for rightsholder</w:t>
      </w:r>
      <w:r w:rsidR="006119D0">
        <w:rPr>
          <w:rFonts w:ascii="Times New Roman" w:hAnsi="Times New Roman" w:cs="Times New Roman"/>
          <w:sz w:val="24"/>
          <w:szCs w:val="24"/>
        </w:rPr>
        <w:t>s</w:t>
      </w:r>
      <w:r w:rsidR="006A36D2">
        <w:rPr>
          <w:rFonts w:ascii="Times New Roman" w:hAnsi="Times New Roman" w:cs="Times New Roman"/>
          <w:sz w:val="24"/>
          <w:szCs w:val="24"/>
        </w:rPr>
        <w:t>. M</w:t>
      </w:r>
      <w:r w:rsidR="007B690F" w:rsidRPr="00E07B7E">
        <w:rPr>
          <w:rFonts w:ascii="Times New Roman" w:hAnsi="Times New Roman" w:cs="Times New Roman"/>
          <w:sz w:val="24"/>
          <w:szCs w:val="24"/>
        </w:rPr>
        <w:t xml:space="preserve">ore focus </w:t>
      </w:r>
      <w:r w:rsidR="00013516">
        <w:rPr>
          <w:rFonts w:ascii="Times New Roman" w:hAnsi="Times New Roman" w:cs="Times New Roman"/>
          <w:sz w:val="24"/>
          <w:szCs w:val="24"/>
        </w:rPr>
        <w:t>is</w:t>
      </w:r>
      <w:r w:rsidR="006A36D2">
        <w:rPr>
          <w:rFonts w:ascii="Times New Roman" w:hAnsi="Times New Roman" w:cs="Times New Roman"/>
          <w:sz w:val="24"/>
          <w:szCs w:val="24"/>
        </w:rPr>
        <w:t xml:space="preserve"> warranted </w:t>
      </w:r>
      <w:r w:rsidR="007B690F" w:rsidRPr="00E07B7E">
        <w:rPr>
          <w:rFonts w:ascii="Times New Roman" w:hAnsi="Times New Roman" w:cs="Times New Roman"/>
          <w:sz w:val="24"/>
          <w:szCs w:val="24"/>
        </w:rPr>
        <w:t xml:space="preserve">on </w:t>
      </w:r>
      <w:r w:rsidR="0095617E">
        <w:rPr>
          <w:rFonts w:ascii="Times New Roman" w:hAnsi="Times New Roman" w:cs="Times New Roman"/>
          <w:sz w:val="24"/>
          <w:szCs w:val="24"/>
        </w:rPr>
        <w:t xml:space="preserve">determining whether </w:t>
      </w:r>
      <w:r w:rsidR="007B690F" w:rsidRPr="00E07B7E">
        <w:rPr>
          <w:rFonts w:ascii="Times New Roman" w:hAnsi="Times New Roman" w:cs="Times New Roman"/>
          <w:sz w:val="24"/>
          <w:szCs w:val="24"/>
        </w:rPr>
        <w:t>the outcomes of NSBGMs</w:t>
      </w:r>
      <w:r w:rsidR="006A36D2">
        <w:rPr>
          <w:rFonts w:ascii="Times New Roman" w:hAnsi="Times New Roman" w:cs="Times New Roman"/>
          <w:sz w:val="24"/>
          <w:szCs w:val="24"/>
        </w:rPr>
        <w:t xml:space="preserve"> are effective</w:t>
      </w:r>
      <w:r w:rsidR="007B690F" w:rsidRPr="00E07B7E">
        <w:rPr>
          <w:rFonts w:ascii="Times New Roman" w:hAnsi="Times New Roman" w:cs="Times New Roman"/>
          <w:sz w:val="24"/>
          <w:szCs w:val="24"/>
        </w:rPr>
        <w:t xml:space="preserve"> </w:t>
      </w:r>
      <w:proofErr w:type="gramStart"/>
      <w:r w:rsidR="007B690F" w:rsidRPr="00E07B7E">
        <w:rPr>
          <w:rFonts w:ascii="Times New Roman" w:hAnsi="Times New Roman" w:cs="Times New Roman"/>
          <w:sz w:val="24"/>
          <w:szCs w:val="24"/>
        </w:rPr>
        <w:t>in order to</w:t>
      </w:r>
      <w:proofErr w:type="gramEnd"/>
      <w:r w:rsidR="007B690F" w:rsidRPr="00E07B7E">
        <w:rPr>
          <w:rFonts w:ascii="Times New Roman" w:hAnsi="Times New Roman" w:cs="Times New Roman"/>
          <w:sz w:val="24"/>
          <w:szCs w:val="24"/>
        </w:rPr>
        <w:t xml:space="preserve"> </w:t>
      </w:r>
      <w:r w:rsidR="00B12F8E" w:rsidRPr="00E07B7E">
        <w:rPr>
          <w:rFonts w:ascii="Times New Roman" w:hAnsi="Times New Roman" w:cs="Times New Roman"/>
          <w:sz w:val="24"/>
          <w:szCs w:val="24"/>
        </w:rPr>
        <w:t>make a</w:t>
      </w:r>
      <w:r w:rsidR="007B690F" w:rsidRPr="00E07B7E">
        <w:rPr>
          <w:rFonts w:ascii="Times New Roman" w:hAnsi="Times New Roman" w:cs="Times New Roman"/>
          <w:sz w:val="24"/>
          <w:szCs w:val="24"/>
        </w:rPr>
        <w:t xml:space="preserve"> </w:t>
      </w:r>
      <w:r w:rsidR="00B12F8E" w:rsidRPr="00E07B7E">
        <w:rPr>
          <w:rFonts w:ascii="Times New Roman" w:hAnsi="Times New Roman" w:cs="Times New Roman"/>
          <w:sz w:val="24"/>
          <w:szCs w:val="24"/>
        </w:rPr>
        <w:t>determination of effectiveness</w:t>
      </w:r>
      <w:r w:rsidR="007B690F" w:rsidRPr="00E07B7E">
        <w:rPr>
          <w:rFonts w:ascii="Times New Roman" w:hAnsi="Times New Roman" w:cs="Times New Roman"/>
          <w:sz w:val="24"/>
          <w:szCs w:val="24"/>
        </w:rPr>
        <w:t xml:space="preserve">. </w:t>
      </w:r>
      <w:proofErr w:type="gramStart"/>
      <w:r w:rsidR="007B690F" w:rsidRPr="00E07B7E">
        <w:rPr>
          <w:rFonts w:ascii="Times New Roman" w:hAnsi="Times New Roman" w:cs="Times New Roman"/>
          <w:sz w:val="24"/>
          <w:szCs w:val="24"/>
        </w:rPr>
        <w:t>In order to</w:t>
      </w:r>
      <w:proofErr w:type="gramEnd"/>
      <w:r w:rsidR="007B690F" w:rsidRPr="00E07B7E">
        <w:rPr>
          <w:rFonts w:ascii="Times New Roman" w:hAnsi="Times New Roman" w:cs="Times New Roman"/>
          <w:sz w:val="24"/>
          <w:szCs w:val="24"/>
        </w:rPr>
        <w:t xml:space="preserve"> test this hypothesis, a case study which investig</w:t>
      </w:r>
      <w:r w:rsidR="00AF5AF3" w:rsidRPr="00E07B7E">
        <w:rPr>
          <w:rFonts w:ascii="Times New Roman" w:hAnsi="Times New Roman" w:cs="Times New Roman"/>
          <w:sz w:val="24"/>
          <w:szCs w:val="24"/>
        </w:rPr>
        <w:t>ates the complaints mechanism of</w:t>
      </w:r>
      <w:r w:rsidR="007B690F" w:rsidRPr="00E07B7E">
        <w:rPr>
          <w:rFonts w:ascii="Times New Roman" w:hAnsi="Times New Roman" w:cs="Times New Roman"/>
          <w:sz w:val="24"/>
          <w:szCs w:val="24"/>
        </w:rPr>
        <w:t xml:space="preserve"> the Roundtable on Sustainable Palm Oil </w:t>
      </w:r>
      <w:r w:rsidR="00F81014" w:rsidRPr="00E07B7E">
        <w:rPr>
          <w:rFonts w:ascii="Times New Roman" w:hAnsi="Times New Roman" w:cs="Times New Roman"/>
          <w:sz w:val="24"/>
          <w:szCs w:val="24"/>
        </w:rPr>
        <w:t xml:space="preserve">(RSPO) </w:t>
      </w:r>
      <w:r w:rsidR="007B690F" w:rsidRPr="00E07B7E">
        <w:rPr>
          <w:rFonts w:ascii="Times New Roman" w:hAnsi="Times New Roman" w:cs="Times New Roman"/>
          <w:sz w:val="24"/>
          <w:szCs w:val="24"/>
        </w:rPr>
        <w:t>is undertaken</w:t>
      </w:r>
      <w:r w:rsidR="00913556" w:rsidRPr="00E07B7E">
        <w:rPr>
          <w:rFonts w:ascii="Times New Roman" w:hAnsi="Times New Roman" w:cs="Times New Roman"/>
          <w:sz w:val="24"/>
          <w:szCs w:val="24"/>
        </w:rPr>
        <w:t xml:space="preserve">. The RSPO complaint mechanism </w:t>
      </w:r>
      <w:r w:rsidR="009E73A4" w:rsidRPr="00E07B7E">
        <w:rPr>
          <w:rFonts w:ascii="Times New Roman" w:hAnsi="Times New Roman" w:cs="Times New Roman"/>
          <w:sz w:val="24"/>
          <w:szCs w:val="24"/>
        </w:rPr>
        <w:t xml:space="preserve">fulfills more of the </w:t>
      </w:r>
      <w:r w:rsidR="00B12F8E" w:rsidRPr="00E07B7E">
        <w:rPr>
          <w:rFonts w:ascii="Times New Roman" w:hAnsi="Times New Roman" w:cs="Times New Roman"/>
          <w:sz w:val="24"/>
          <w:szCs w:val="24"/>
        </w:rPr>
        <w:t>UNGPs’ effectiveness</w:t>
      </w:r>
      <w:r w:rsidR="009E73A4" w:rsidRPr="00E07B7E">
        <w:rPr>
          <w:rFonts w:ascii="Times New Roman" w:hAnsi="Times New Roman" w:cs="Times New Roman"/>
          <w:sz w:val="24"/>
          <w:szCs w:val="24"/>
        </w:rPr>
        <w:t xml:space="preserve"> criteria t</w:t>
      </w:r>
      <w:r w:rsidR="00667A42" w:rsidRPr="00E07B7E">
        <w:rPr>
          <w:rFonts w:ascii="Times New Roman" w:hAnsi="Times New Roman" w:cs="Times New Roman"/>
          <w:sz w:val="24"/>
          <w:szCs w:val="24"/>
        </w:rPr>
        <w:t>han most</w:t>
      </w:r>
      <w:r w:rsidR="00B12F8E" w:rsidRPr="00E07B7E">
        <w:rPr>
          <w:rFonts w:ascii="Times New Roman" w:hAnsi="Times New Roman" w:cs="Times New Roman"/>
          <w:sz w:val="24"/>
          <w:szCs w:val="24"/>
        </w:rPr>
        <w:t xml:space="preserve"> other NSBGMs, but </w:t>
      </w:r>
      <w:r w:rsidR="00AF5AF3" w:rsidRPr="00E07B7E">
        <w:rPr>
          <w:rFonts w:ascii="Times New Roman" w:hAnsi="Times New Roman" w:cs="Times New Roman"/>
          <w:sz w:val="24"/>
          <w:szCs w:val="24"/>
        </w:rPr>
        <w:t>we find that there are fundamental problems in terms of the</w:t>
      </w:r>
      <w:r w:rsidR="00B12F8E" w:rsidRPr="00E07B7E">
        <w:rPr>
          <w:rFonts w:ascii="Times New Roman" w:hAnsi="Times New Roman" w:cs="Times New Roman"/>
          <w:sz w:val="24"/>
          <w:szCs w:val="24"/>
        </w:rPr>
        <w:t xml:space="preserve"> outcomes </w:t>
      </w:r>
      <w:r w:rsidR="00AF5AF3" w:rsidRPr="00E07B7E">
        <w:rPr>
          <w:rFonts w:ascii="Times New Roman" w:hAnsi="Times New Roman" w:cs="Times New Roman"/>
          <w:sz w:val="24"/>
          <w:szCs w:val="24"/>
        </w:rPr>
        <w:t xml:space="preserve">which it produces </w:t>
      </w:r>
      <w:r w:rsidR="00B12F8E" w:rsidRPr="00E07B7E">
        <w:rPr>
          <w:rFonts w:ascii="Times New Roman" w:hAnsi="Times New Roman" w:cs="Times New Roman"/>
          <w:sz w:val="24"/>
          <w:szCs w:val="24"/>
        </w:rPr>
        <w:t>for rightsholders.</w:t>
      </w:r>
      <w:r w:rsidR="009E73A4" w:rsidRPr="00E07B7E">
        <w:rPr>
          <w:rFonts w:ascii="Times New Roman" w:hAnsi="Times New Roman" w:cs="Times New Roman"/>
          <w:sz w:val="24"/>
          <w:szCs w:val="24"/>
        </w:rPr>
        <w:t xml:space="preserve">  </w:t>
      </w:r>
    </w:p>
    <w:p w14:paraId="0DABE024" w14:textId="6D8AED0E" w:rsidR="006B0493" w:rsidRDefault="00161607"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While our study focuses on one relatively narrow aspect of </w:t>
      </w:r>
      <w:r w:rsidR="007A49A5" w:rsidRPr="00E07B7E">
        <w:rPr>
          <w:rFonts w:ascii="Times New Roman" w:hAnsi="Times New Roman" w:cs="Times New Roman"/>
          <w:sz w:val="24"/>
          <w:szCs w:val="24"/>
        </w:rPr>
        <w:t xml:space="preserve">the </w:t>
      </w:r>
      <w:r w:rsidRPr="00E07B7E">
        <w:rPr>
          <w:rFonts w:ascii="Times New Roman" w:hAnsi="Times New Roman" w:cs="Times New Roman"/>
          <w:sz w:val="24"/>
          <w:szCs w:val="24"/>
        </w:rPr>
        <w:t>business and human rights</w:t>
      </w:r>
      <w:r w:rsidR="007A49A5" w:rsidRPr="00E07B7E">
        <w:rPr>
          <w:rFonts w:ascii="Times New Roman" w:hAnsi="Times New Roman" w:cs="Times New Roman"/>
          <w:sz w:val="24"/>
          <w:szCs w:val="24"/>
        </w:rPr>
        <w:t xml:space="preserve"> debate, it is an important contribution to</w:t>
      </w:r>
      <w:r w:rsidRPr="00E07B7E">
        <w:rPr>
          <w:rFonts w:ascii="Times New Roman" w:hAnsi="Times New Roman" w:cs="Times New Roman"/>
          <w:sz w:val="24"/>
          <w:szCs w:val="24"/>
        </w:rPr>
        <w:t xml:space="preserve"> broader issues </w:t>
      </w:r>
      <w:r w:rsidR="007A49A5" w:rsidRPr="00E07B7E">
        <w:rPr>
          <w:rFonts w:ascii="Times New Roman" w:hAnsi="Times New Roman" w:cs="Times New Roman"/>
          <w:sz w:val="24"/>
          <w:szCs w:val="24"/>
        </w:rPr>
        <w:t>within the field. I</w:t>
      </w:r>
      <w:r w:rsidRPr="00E07B7E">
        <w:rPr>
          <w:rFonts w:ascii="Times New Roman" w:hAnsi="Times New Roman" w:cs="Times New Roman"/>
          <w:sz w:val="24"/>
          <w:szCs w:val="24"/>
        </w:rPr>
        <w:t>t has been recognized by this journal that scholarship on business and human rights has so far ‘</w:t>
      </w:r>
      <w:r w:rsidRPr="00E07B7E">
        <w:rPr>
          <w:rFonts w:ascii="Times New Roman" w:hAnsi="Times New Roman" w:cs="Times New Roman"/>
          <w:sz w:val="24"/>
          <w:szCs w:val="24"/>
          <w:lang w:val="en-GB"/>
        </w:rPr>
        <w:t>engaged relatively scarcely in empirical analysis’</w:t>
      </w:r>
      <w:r w:rsidRPr="00E07B7E">
        <w:rPr>
          <w:rFonts w:ascii="Times New Roman" w:hAnsi="Times New Roman" w:cs="Times New Roman"/>
          <w:sz w:val="24"/>
          <w:szCs w:val="24"/>
        </w:rPr>
        <w:t xml:space="preserve"> and that as a result, various </w:t>
      </w:r>
      <w:r w:rsidR="00D17066" w:rsidRPr="00E07B7E">
        <w:rPr>
          <w:rFonts w:ascii="Times New Roman" w:hAnsi="Times New Roman" w:cs="Times New Roman"/>
          <w:sz w:val="24"/>
          <w:szCs w:val="24"/>
        </w:rPr>
        <w:t>hypothes</w:t>
      </w:r>
      <w:r w:rsidR="00D17066">
        <w:rPr>
          <w:rFonts w:ascii="Times New Roman" w:hAnsi="Times New Roman" w:cs="Times New Roman"/>
          <w:sz w:val="24"/>
          <w:szCs w:val="24"/>
        </w:rPr>
        <w:t>e</w:t>
      </w:r>
      <w:r w:rsidR="00D17066" w:rsidRPr="00E07B7E">
        <w:rPr>
          <w:rFonts w:ascii="Times New Roman" w:hAnsi="Times New Roman" w:cs="Times New Roman"/>
          <w:sz w:val="24"/>
          <w:szCs w:val="24"/>
        </w:rPr>
        <w:t xml:space="preserve">s </w:t>
      </w:r>
      <w:r w:rsidRPr="00E07B7E">
        <w:rPr>
          <w:rFonts w:ascii="Times New Roman" w:hAnsi="Times New Roman" w:cs="Times New Roman"/>
          <w:sz w:val="24"/>
          <w:szCs w:val="24"/>
        </w:rPr>
        <w:t>about business and huma</w:t>
      </w:r>
      <w:r w:rsidR="007A49A5" w:rsidRPr="00E07B7E">
        <w:rPr>
          <w:rFonts w:ascii="Times New Roman" w:hAnsi="Times New Roman" w:cs="Times New Roman"/>
          <w:sz w:val="24"/>
          <w:szCs w:val="24"/>
        </w:rPr>
        <w:t>n rights performance have</w:t>
      </w:r>
      <w:r w:rsidRPr="00E07B7E">
        <w:rPr>
          <w:rFonts w:ascii="Times New Roman" w:hAnsi="Times New Roman" w:cs="Times New Roman"/>
          <w:sz w:val="24"/>
          <w:szCs w:val="24"/>
        </w:rPr>
        <w:t xml:space="preserve"> not been properly tested.</w:t>
      </w:r>
      <w:r w:rsidR="00A0146A">
        <w:rPr>
          <w:rStyle w:val="FootnoteReference"/>
          <w:rFonts w:ascii="Times New Roman" w:hAnsi="Times New Roman" w:cs="Times New Roman"/>
          <w:sz w:val="24"/>
          <w:szCs w:val="24"/>
        </w:rPr>
        <w:footnoteReference w:id="8"/>
      </w:r>
      <w:r w:rsidRPr="00E07B7E">
        <w:rPr>
          <w:rFonts w:ascii="Times New Roman" w:hAnsi="Times New Roman" w:cs="Times New Roman"/>
          <w:sz w:val="24"/>
          <w:szCs w:val="24"/>
        </w:rPr>
        <w:t xml:space="preserve"> </w:t>
      </w:r>
      <w:r w:rsidR="00405AC1">
        <w:rPr>
          <w:rFonts w:ascii="Times New Roman" w:hAnsi="Times New Roman" w:cs="Times New Roman"/>
          <w:sz w:val="24"/>
          <w:szCs w:val="24"/>
        </w:rPr>
        <w:t>This article presents the findings of just such an</w:t>
      </w:r>
      <w:r w:rsidR="007A49A5" w:rsidRPr="00E07B7E">
        <w:rPr>
          <w:rFonts w:ascii="Times New Roman" w:hAnsi="Times New Roman" w:cs="Times New Roman"/>
          <w:sz w:val="24"/>
          <w:szCs w:val="24"/>
        </w:rPr>
        <w:t xml:space="preserve"> </w:t>
      </w:r>
      <w:r w:rsidR="00405AC1">
        <w:rPr>
          <w:rFonts w:ascii="Times New Roman" w:hAnsi="Times New Roman" w:cs="Times New Roman"/>
          <w:sz w:val="24"/>
          <w:szCs w:val="24"/>
        </w:rPr>
        <w:t>empirical investigation</w:t>
      </w:r>
      <w:r w:rsidR="00395C2C" w:rsidRPr="001C6A5E">
        <w:rPr>
          <w:rFonts w:ascii="Times New Roman" w:hAnsi="Times New Roman" w:cs="Times New Roman"/>
          <w:sz w:val="24"/>
          <w:szCs w:val="24"/>
        </w:rPr>
        <w:t xml:space="preserve">. </w:t>
      </w:r>
      <w:r w:rsidR="00712DE3">
        <w:rPr>
          <w:rFonts w:ascii="Times New Roman" w:hAnsi="Times New Roman" w:cs="Times New Roman"/>
          <w:sz w:val="24"/>
          <w:szCs w:val="24"/>
        </w:rPr>
        <w:t>As a result of our</w:t>
      </w:r>
      <w:r w:rsidR="00395C2C" w:rsidRPr="00395C2C">
        <w:rPr>
          <w:rFonts w:ascii="Times New Roman" w:hAnsi="Times New Roman" w:cs="Times New Roman"/>
          <w:sz w:val="24"/>
          <w:szCs w:val="24"/>
        </w:rPr>
        <w:t xml:space="preserve"> findings, we </w:t>
      </w:r>
      <w:r w:rsidR="00395C2C">
        <w:rPr>
          <w:rFonts w:ascii="Times New Roman" w:hAnsi="Times New Roman" w:cs="Times New Roman"/>
          <w:sz w:val="24"/>
          <w:szCs w:val="24"/>
        </w:rPr>
        <w:t xml:space="preserve">make suggestions </w:t>
      </w:r>
      <w:r w:rsidR="00395C2C" w:rsidRPr="00395C2C">
        <w:rPr>
          <w:rFonts w:ascii="Times New Roman" w:hAnsi="Times New Roman" w:cs="Times New Roman"/>
          <w:sz w:val="24"/>
          <w:szCs w:val="24"/>
        </w:rPr>
        <w:t xml:space="preserve">about the ways in which NSBGMs should be assessed in the future to ensure that their role in providing access to effective remedies for rights holders is properly evaluated. </w:t>
      </w:r>
      <w:r w:rsidR="00395C2C">
        <w:rPr>
          <w:rFonts w:ascii="Times New Roman" w:hAnsi="Times New Roman" w:cs="Times New Roman"/>
          <w:sz w:val="24"/>
          <w:szCs w:val="24"/>
        </w:rPr>
        <w:t>This matters to broader</w:t>
      </w:r>
      <w:r w:rsidR="00A0146A">
        <w:rPr>
          <w:rFonts w:ascii="Times New Roman" w:hAnsi="Times New Roman" w:cs="Times New Roman"/>
          <w:sz w:val="24"/>
          <w:szCs w:val="24"/>
        </w:rPr>
        <w:t xml:space="preserve"> debates </w:t>
      </w:r>
      <w:r w:rsidR="00954441" w:rsidRPr="00E07B7E">
        <w:rPr>
          <w:rFonts w:ascii="Times New Roman" w:hAnsi="Times New Roman" w:cs="Times New Roman"/>
          <w:sz w:val="24"/>
          <w:szCs w:val="24"/>
        </w:rPr>
        <w:t xml:space="preserve">about </w:t>
      </w:r>
      <w:r w:rsidR="00395C2C">
        <w:rPr>
          <w:rFonts w:ascii="Times New Roman" w:hAnsi="Times New Roman" w:cs="Times New Roman"/>
          <w:sz w:val="24"/>
          <w:szCs w:val="24"/>
        </w:rPr>
        <w:t xml:space="preserve">access </w:t>
      </w:r>
      <w:r w:rsidR="00A55061">
        <w:rPr>
          <w:rFonts w:ascii="Times New Roman" w:hAnsi="Times New Roman" w:cs="Times New Roman"/>
          <w:sz w:val="24"/>
          <w:szCs w:val="24"/>
        </w:rPr>
        <w:t xml:space="preserve">to </w:t>
      </w:r>
      <w:r w:rsidR="00395C2C">
        <w:rPr>
          <w:rFonts w:ascii="Times New Roman" w:hAnsi="Times New Roman" w:cs="Times New Roman"/>
          <w:sz w:val="24"/>
          <w:szCs w:val="24"/>
        </w:rPr>
        <w:t xml:space="preserve">remedy. By scrutinizing more carefully and precisely how each individual mechanism contributes (or does not contribute) to the overall goal of achieving </w:t>
      </w:r>
      <w:r w:rsidR="00712DE3">
        <w:rPr>
          <w:rFonts w:ascii="Times New Roman" w:hAnsi="Times New Roman" w:cs="Times New Roman"/>
          <w:sz w:val="24"/>
          <w:szCs w:val="24"/>
        </w:rPr>
        <w:t>effective remedy</w:t>
      </w:r>
      <w:r w:rsidR="00395C2C">
        <w:rPr>
          <w:rFonts w:ascii="Times New Roman" w:hAnsi="Times New Roman" w:cs="Times New Roman"/>
          <w:sz w:val="24"/>
          <w:szCs w:val="24"/>
        </w:rPr>
        <w:t xml:space="preserve">, we </w:t>
      </w:r>
      <w:r w:rsidR="008E6777">
        <w:rPr>
          <w:rFonts w:ascii="Times New Roman" w:hAnsi="Times New Roman" w:cs="Times New Roman"/>
          <w:sz w:val="24"/>
          <w:szCs w:val="24"/>
        </w:rPr>
        <w:t>build up a more accurate picture of the current situation and we are better placed to advocate fo</w:t>
      </w:r>
      <w:r w:rsidR="00405AC1">
        <w:rPr>
          <w:rFonts w:ascii="Times New Roman" w:hAnsi="Times New Roman" w:cs="Times New Roman"/>
          <w:sz w:val="24"/>
          <w:szCs w:val="24"/>
        </w:rPr>
        <w:t>r reforms that will improve remedies</w:t>
      </w:r>
      <w:r w:rsidR="008E6777">
        <w:rPr>
          <w:rFonts w:ascii="Times New Roman" w:hAnsi="Times New Roman" w:cs="Times New Roman"/>
          <w:sz w:val="24"/>
          <w:szCs w:val="24"/>
        </w:rPr>
        <w:t xml:space="preserve"> in the future</w:t>
      </w:r>
      <w:r w:rsidR="00954441" w:rsidRPr="00E07B7E">
        <w:rPr>
          <w:rFonts w:ascii="Times New Roman" w:hAnsi="Times New Roman" w:cs="Times New Roman"/>
          <w:sz w:val="24"/>
          <w:szCs w:val="24"/>
        </w:rPr>
        <w:t>.</w:t>
      </w:r>
    </w:p>
    <w:p w14:paraId="75B6D11E" w14:textId="1780406A" w:rsidR="006B0493" w:rsidRPr="006B0493" w:rsidRDefault="006B0493"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T</w:t>
      </w:r>
      <w:r w:rsidRPr="006B0493">
        <w:rPr>
          <w:rFonts w:ascii="Times New Roman" w:hAnsi="Times New Roman" w:cs="Times New Roman"/>
          <w:sz w:val="24"/>
          <w:szCs w:val="24"/>
        </w:rPr>
        <w:t xml:space="preserve">he remainder of the article is set out as follows. We first </w:t>
      </w:r>
      <w:r>
        <w:rPr>
          <w:rFonts w:ascii="Times New Roman" w:hAnsi="Times New Roman" w:cs="Times New Roman"/>
          <w:sz w:val="24"/>
          <w:szCs w:val="24"/>
        </w:rPr>
        <w:t xml:space="preserve">explore different approaches to </w:t>
      </w:r>
      <w:r w:rsidR="002D661E" w:rsidRPr="00D17066">
        <w:rPr>
          <w:rFonts w:ascii="Times New Roman" w:hAnsi="Times New Roman" w:cs="Times New Roman"/>
          <w:sz w:val="24"/>
          <w:szCs w:val="24"/>
        </w:rPr>
        <w:t>assess</w:t>
      </w:r>
      <w:r w:rsidR="006B54CE">
        <w:rPr>
          <w:rFonts w:ascii="Times New Roman" w:hAnsi="Times New Roman" w:cs="Times New Roman"/>
          <w:sz w:val="24"/>
          <w:szCs w:val="24"/>
        </w:rPr>
        <w:t>ing</w:t>
      </w:r>
      <w:r>
        <w:rPr>
          <w:rFonts w:ascii="Times New Roman" w:hAnsi="Times New Roman" w:cs="Times New Roman"/>
          <w:sz w:val="24"/>
          <w:szCs w:val="24"/>
        </w:rPr>
        <w:t xml:space="preserve"> the effectiveness of NSBGMs</w:t>
      </w:r>
      <w:r w:rsidR="00A37D9D">
        <w:rPr>
          <w:rFonts w:ascii="Times New Roman" w:hAnsi="Times New Roman" w:cs="Times New Roman"/>
          <w:sz w:val="24"/>
          <w:szCs w:val="24"/>
        </w:rPr>
        <w:t xml:space="preserve"> in providing a remedy</w:t>
      </w:r>
      <w:r>
        <w:rPr>
          <w:rFonts w:ascii="Times New Roman" w:hAnsi="Times New Roman" w:cs="Times New Roman"/>
          <w:sz w:val="24"/>
          <w:szCs w:val="24"/>
        </w:rPr>
        <w:t xml:space="preserve">, querying the </w:t>
      </w:r>
      <w:r w:rsidR="004B7486">
        <w:rPr>
          <w:rFonts w:ascii="Times New Roman" w:hAnsi="Times New Roman" w:cs="Times New Roman"/>
          <w:sz w:val="24"/>
          <w:szCs w:val="24"/>
        </w:rPr>
        <w:t xml:space="preserve">focus on procedural aspects, </w:t>
      </w:r>
      <w:r>
        <w:rPr>
          <w:rFonts w:ascii="Times New Roman" w:hAnsi="Times New Roman" w:cs="Times New Roman"/>
          <w:sz w:val="24"/>
          <w:szCs w:val="24"/>
        </w:rPr>
        <w:t>a</w:t>
      </w:r>
      <w:r w:rsidR="00405AC1">
        <w:rPr>
          <w:rFonts w:ascii="Times New Roman" w:hAnsi="Times New Roman" w:cs="Times New Roman"/>
          <w:sz w:val="24"/>
          <w:szCs w:val="24"/>
        </w:rPr>
        <w:t xml:space="preserve">nd stressing the importance of </w:t>
      </w:r>
      <w:proofErr w:type="spellStart"/>
      <w:r w:rsidR="00405AC1">
        <w:rPr>
          <w:rFonts w:ascii="Times New Roman" w:hAnsi="Times New Roman" w:cs="Times New Roman"/>
          <w:sz w:val="24"/>
          <w:szCs w:val="24"/>
        </w:rPr>
        <w:t>analysing</w:t>
      </w:r>
      <w:proofErr w:type="spellEnd"/>
      <w:r>
        <w:rPr>
          <w:rFonts w:ascii="Times New Roman" w:hAnsi="Times New Roman" w:cs="Times New Roman"/>
          <w:sz w:val="24"/>
          <w:szCs w:val="24"/>
        </w:rPr>
        <w:t xml:space="preserve"> the outcomes of cases </w:t>
      </w:r>
      <w:r w:rsidR="00405AC1">
        <w:rPr>
          <w:rFonts w:ascii="Times New Roman" w:hAnsi="Times New Roman" w:cs="Times New Roman"/>
          <w:sz w:val="24"/>
          <w:szCs w:val="24"/>
        </w:rPr>
        <w:t xml:space="preserve">for rightsholders </w:t>
      </w:r>
      <w:r>
        <w:rPr>
          <w:rFonts w:ascii="Times New Roman" w:hAnsi="Times New Roman" w:cs="Times New Roman"/>
          <w:sz w:val="24"/>
          <w:szCs w:val="24"/>
        </w:rPr>
        <w:t>(section II). This is followed by an explanation of how the</w:t>
      </w:r>
      <w:r w:rsidRPr="006B0493">
        <w:rPr>
          <w:rFonts w:ascii="Times New Roman" w:hAnsi="Times New Roman" w:cs="Times New Roman"/>
          <w:sz w:val="24"/>
          <w:szCs w:val="24"/>
        </w:rPr>
        <w:t xml:space="preserve"> </w:t>
      </w:r>
      <w:proofErr w:type="gramStart"/>
      <w:r w:rsidRPr="006B0493">
        <w:rPr>
          <w:rFonts w:ascii="Times New Roman" w:hAnsi="Times New Roman" w:cs="Times New Roman"/>
          <w:sz w:val="24"/>
          <w:szCs w:val="24"/>
        </w:rPr>
        <w:t>RSPO</w:t>
      </w:r>
      <w:proofErr w:type="gramEnd"/>
      <w:r w:rsidRPr="006B0493">
        <w:rPr>
          <w:rFonts w:ascii="Times New Roman" w:hAnsi="Times New Roman" w:cs="Times New Roman"/>
          <w:sz w:val="24"/>
          <w:szCs w:val="24"/>
        </w:rPr>
        <w:t xml:space="preserve"> and its complaint mechanism functions and </w:t>
      </w:r>
      <w:r w:rsidR="00A36B54">
        <w:rPr>
          <w:rFonts w:ascii="Times New Roman" w:hAnsi="Times New Roman" w:cs="Times New Roman"/>
          <w:sz w:val="24"/>
          <w:szCs w:val="24"/>
        </w:rPr>
        <w:t xml:space="preserve">an </w:t>
      </w:r>
      <w:r w:rsidRPr="006B0493">
        <w:rPr>
          <w:rFonts w:ascii="Times New Roman" w:hAnsi="Times New Roman" w:cs="Times New Roman"/>
          <w:sz w:val="24"/>
          <w:szCs w:val="24"/>
        </w:rPr>
        <w:t>assess</w:t>
      </w:r>
      <w:r w:rsidR="00A36B54">
        <w:rPr>
          <w:rFonts w:ascii="Times New Roman" w:hAnsi="Times New Roman" w:cs="Times New Roman"/>
          <w:sz w:val="24"/>
          <w:szCs w:val="24"/>
        </w:rPr>
        <w:t>ment of</w:t>
      </w:r>
      <w:r w:rsidRPr="006B0493">
        <w:rPr>
          <w:rFonts w:ascii="Times New Roman" w:hAnsi="Times New Roman" w:cs="Times New Roman"/>
          <w:sz w:val="24"/>
          <w:szCs w:val="24"/>
        </w:rPr>
        <w:t xml:space="preserve"> </w:t>
      </w:r>
      <w:r w:rsidR="00F71500">
        <w:rPr>
          <w:rFonts w:ascii="Times New Roman" w:hAnsi="Times New Roman" w:cs="Times New Roman"/>
          <w:sz w:val="24"/>
          <w:szCs w:val="24"/>
        </w:rPr>
        <w:t>how well it</w:t>
      </w:r>
      <w:r w:rsidRPr="006B0493">
        <w:rPr>
          <w:rFonts w:ascii="Times New Roman" w:hAnsi="Times New Roman" w:cs="Times New Roman"/>
          <w:sz w:val="24"/>
          <w:szCs w:val="24"/>
        </w:rPr>
        <w:t xml:space="preserve"> </w:t>
      </w:r>
      <w:r w:rsidR="00A33498">
        <w:rPr>
          <w:rFonts w:ascii="Times New Roman" w:hAnsi="Times New Roman" w:cs="Times New Roman"/>
          <w:sz w:val="24"/>
          <w:szCs w:val="24"/>
        </w:rPr>
        <w:t>meets</w:t>
      </w:r>
      <w:r w:rsidRPr="006B0493">
        <w:rPr>
          <w:rFonts w:ascii="Times New Roman" w:hAnsi="Times New Roman" w:cs="Times New Roman"/>
          <w:sz w:val="24"/>
          <w:szCs w:val="24"/>
        </w:rPr>
        <w:t xml:space="preserve"> the UNGPs’ effectiveness criteria (section </w:t>
      </w:r>
      <w:r w:rsidR="006119D0">
        <w:rPr>
          <w:rFonts w:ascii="Times New Roman" w:hAnsi="Times New Roman" w:cs="Times New Roman"/>
          <w:sz w:val="24"/>
          <w:szCs w:val="24"/>
        </w:rPr>
        <w:t>III</w:t>
      </w:r>
      <w:r w:rsidRPr="006B0493">
        <w:rPr>
          <w:rFonts w:ascii="Times New Roman" w:hAnsi="Times New Roman" w:cs="Times New Roman"/>
          <w:sz w:val="24"/>
          <w:szCs w:val="24"/>
        </w:rPr>
        <w:t xml:space="preserve">). In section </w:t>
      </w:r>
      <w:r w:rsidR="006119D0">
        <w:rPr>
          <w:rFonts w:ascii="Times New Roman" w:hAnsi="Times New Roman" w:cs="Times New Roman"/>
          <w:sz w:val="24"/>
          <w:szCs w:val="24"/>
        </w:rPr>
        <w:t>I</w:t>
      </w:r>
      <w:r w:rsidRPr="006B0493">
        <w:rPr>
          <w:rFonts w:ascii="Times New Roman" w:hAnsi="Times New Roman" w:cs="Times New Roman"/>
          <w:sz w:val="24"/>
          <w:szCs w:val="24"/>
        </w:rPr>
        <w:t xml:space="preserve">V we introduce an alternative </w:t>
      </w:r>
      <w:r w:rsidR="00366E9B">
        <w:rPr>
          <w:rFonts w:ascii="Times New Roman" w:hAnsi="Times New Roman" w:cs="Times New Roman"/>
          <w:sz w:val="24"/>
          <w:szCs w:val="24"/>
        </w:rPr>
        <w:t xml:space="preserve">approach and </w:t>
      </w:r>
      <w:r w:rsidRPr="006B0493">
        <w:rPr>
          <w:rFonts w:ascii="Times New Roman" w:hAnsi="Times New Roman" w:cs="Times New Roman"/>
          <w:sz w:val="24"/>
          <w:szCs w:val="24"/>
        </w:rPr>
        <w:t xml:space="preserve">methodology for assessing the </w:t>
      </w:r>
      <w:r w:rsidRPr="006B0493">
        <w:rPr>
          <w:rFonts w:ascii="Times New Roman" w:hAnsi="Times New Roman" w:cs="Times New Roman"/>
          <w:sz w:val="24"/>
          <w:szCs w:val="24"/>
        </w:rPr>
        <w:lastRenderedPageBreak/>
        <w:t xml:space="preserve">effectiveness of the RSPO complaints mechanism, focusing on the outcomes produced for claimants and then present the results when that methodology is </w:t>
      </w:r>
      <w:r w:rsidR="00A46202">
        <w:rPr>
          <w:rFonts w:ascii="Times New Roman" w:hAnsi="Times New Roman" w:cs="Times New Roman"/>
          <w:sz w:val="24"/>
          <w:szCs w:val="24"/>
        </w:rPr>
        <w:t>used</w:t>
      </w:r>
      <w:r w:rsidRPr="006B0493">
        <w:rPr>
          <w:rFonts w:ascii="Times New Roman" w:hAnsi="Times New Roman" w:cs="Times New Roman"/>
          <w:sz w:val="24"/>
          <w:szCs w:val="24"/>
        </w:rPr>
        <w:t xml:space="preserve"> (section V). </w:t>
      </w:r>
      <w:r w:rsidR="00405AC1">
        <w:rPr>
          <w:rFonts w:ascii="Times New Roman" w:hAnsi="Times New Roman" w:cs="Times New Roman"/>
          <w:sz w:val="24"/>
          <w:szCs w:val="24"/>
        </w:rPr>
        <w:t>In section VI</w:t>
      </w:r>
      <w:r w:rsidR="006A36D2">
        <w:rPr>
          <w:rFonts w:ascii="Times New Roman" w:hAnsi="Times New Roman" w:cs="Times New Roman"/>
          <w:sz w:val="24"/>
          <w:szCs w:val="24"/>
        </w:rPr>
        <w:t>,</w:t>
      </w:r>
      <w:r w:rsidRPr="006B0493">
        <w:rPr>
          <w:rFonts w:ascii="Times New Roman" w:hAnsi="Times New Roman" w:cs="Times New Roman"/>
          <w:sz w:val="24"/>
          <w:szCs w:val="24"/>
        </w:rPr>
        <w:t xml:space="preserve"> we reflect on those results</w:t>
      </w:r>
      <w:r w:rsidR="006A36D2">
        <w:rPr>
          <w:rFonts w:ascii="Times New Roman" w:hAnsi="Times New Roman" w:cs="Times New Roman"/>
          <w:sz w:val="24"/>
          <w:szCs w:val="24"/>
        </w:rPr>
        <w:t>, in light of the wider literature on NSBGMs and ac</w:t>
      </w:r>
      <w:r w:rsidR="006119D0">
        <w:rPr>
          <w:rFonts w:ascii="Times New Roman" w:hAnsi="Times New Roman" w:cs="Times New Roman"/>
          <w:sz w:val="24"/>
          <w:szCs w:val="24"/>
        </w:rPr>
        <w:t>c</w:t>
      </w:r>
      <w:r w:rsidR="006A36D2">
        <w:rPr>
          <w:rFonts w:ascii="Times New Roman" w:hAnsi="Times New Roman" w:cs="Times New Roman"/>
          <w:sz w:val="24"/>
          <w:szCs w:val="24"/>
        </w:rPr>
        <w:t>ess to remedy,</w:t>
      </w:r>
      <w:r w:rsidRPr="006B0493">
        <w:rPr>
          <w:rFonts w:ascii="Times New Roman" w:hAnsi="Times New Roman" w:cs="Times New Roman"/>
          <w:sz w:val="24"/>
          <w:szCs w:val="24"/>
        </w:rPr>
        <w:t xml:space="preserve"> and </w:t>
      </w:r>
      <w:r w:rsidR="006A36D2">
        <w:rPr>
          <w:rFonts w:ascii="Times New Roman" w:hAnsi="Times New Roman" w:cs="Times New Roman"/>
          <w:sz w:val="24"/>
          <w:szCs w:val="24"/>
        </w:rPr>
        <w:t xml:space="preserve">consider </w:t>
      </w:r>
      <w:r w:rsidRPr="006B0493">
        <w:rPr>
          <w:rFonts w:ascii="Times New Roman" w:hAnsi="Times New Roman" w:cs="Times New Roman"/>
          <w:sz w:val="24"/>
          <w:szCs w:val="24"/>
        </w:rPr>
        <w:t>th</w:t>
      </w:r>
      <w:r w:rsidR="006A36D2">
        <w:rPr>
          <w:rFonts w:ascii="Times New Roman" w:hAnsi="Times New Roman" w:cs="Times New Roman"/>
          <w:sz w:val="24"/>
          <w:szCs w:val="24"/>
        </w:rPr>
        <w:t>e</w:t>
      </w:r>
      <w:r w:rsidRPr="006B0493">
        <w:rPr>
          <w:rFonts w:ascii="Times New Roman" w:hAnsi="Times New Roman" w:cs="Times New Roman"/>
          <w:sz w:val="24"/>
          <w:szCs w:val="24"/>
        </w:rPr>
        <w:t xml:space="preserve"> implications for how NSGBMs are assessed in terms of their ability to provide an effective remedy in the future.</w:t>
      </w:r>
      <w:r w:rsidR="006119D0">
        <w:rPr>
          <w:rFonts w:ascii="Times New Roman" w:hAnsi="Times New Roman" w:cs="Times New Roman"/>
          <w:sz w:val="24"/>
          <w:szCs w:val="24"/>
        </w:rPr>
        <w:t xml:space="preserve"> Section VII</w:t>
      </w:r>
      <w:r w:rsidR="006A36D2">
        <w:rPr>
          <w:rFonts w:ascii="Times New Roman" w:hAnsi="Times New Roman" w:cs="Times New Roman"/>
          <w:sz w:val="24"/>
          <w:szCs w:val="24"/>
        </w:rPr>
        <w:t xml:space="preserve"> concludes the article. </w:t>
      </w:r>
      <w:r w:rsidRPr="006B0493">
        <w:rPr>
          <w:rFonts w:ascii="Times New Roman" w:hAnsi="Times New Roman" w:cs="Times New Roman"/>
          <w:sz w:val="24"/>
          <w:szCs w:val="24"/>
        </w:rPr>
        <w:t xml:space="preserve">        </w:t>
      </w:r>
    </w:p>
    <w:p w14:paraId="55FE36A5" w14:textId="47B1DE59" w:rsidR="00161607" w:rsidRPr="00E07B7E" w:rsidRDefault="00A0146A"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7A49A5" w:rsidRPr="00E07B7E">
        <w:rPr>
          <w:rFonts w:ascii="Times New Roman" w:hAnsi="Times New Roman" w:cs="Times New Roman"/>
          <w:sz w:val="24"/>
          <w:szCs w:val="24"/>
        </w:rPr>
        <w:t xml:space="preserve">    </w:t>
      </w:r>
      <w:r w:rsidR="00161607" w:rsidRPr="00E07B7E">
        <w:rPr>
          <w:rFonts w:ascii="Times New Roman" w:hAnsi="Times New Roman" w:cs="Times New Roman"/>
          <w:sz w:val="24"/>
          <w:szCs w:val="24"/>
        </w:rPr>
        <w:t xml:space="preserve">  </w:t>
      </w:r>
    </w:p>
    <w:p w14:paraId="6E440A64" w14:textId="68D507A9" w:rsidR="00527C7E" w:rsidRPr="001659DC" w:rsidRDefault="00F22281" w:rsidP="001659DC">
      <w:pPr>
        <w:pStyle w:val="ListParagraph"/>
        <w:numPr>
          <w:ilvl w:val="0"/>
          <w:numId w:val="1"/>
        </w:numPr>
        <w:spacing w:line="360" w:lineRule="auto"/>
        <w:jc w:val="center"/>
        <w:rPr>
          <w:rFonts w:ascii="Times New Roman" w:hAnsi="Times New Roman" w:cs="Times New Roman"/>
          <w:smallCaps/>
          <w:sz w:val="28"/>
          <w:szCs w:val="28"/>
        </w:rPr>
      </w:pPr>
      <w:r w:rsidRPr="001659DC">
        <w:rPr>
          <w:rFonts w:ascii="Times New Roman" w:hAnsi="Times New Roman" w:cs="Times New Roman"/>
          <w:smallCaps/>
          <w:sz w:val="28"/>
          <w:szCs w:val="28"/>
        </w:rPr>
        <w:t>Assessing</w:t>
      </w:r>
      <w:r w:rsidR="001212BE" w:rsidRPr="001659DC">
        <w:rPr>
          <w:rFonts w:ascii="Times New Roman" w:hAnsi="Times New Roman" w:cs="Times New Roman"/>
          <w:smallCaps/>
          <w:sz w:val="28"/>
          <w:szCs w:val="28"/>
        </w:rPr>
        <w:t xml:space="preserve"> the Effectiveness of NSBGMs</w:t>
      </w:r>
      <w:r w:rsidR="00A37D9D">
        <w:rPr>
          <w:rFonts w:ascii="Times New Roman" w:hAnsi="Times New Roman" w:cs="Times New Roman"/>
          <w:smallCaps/>
          <w:sz w:val="28"/>
          <w:szCs w:val="28"/>
        </w:rPr>
        <w:t xml:space="preserve"> in Providing a Remedy</w:t>
      </w:r>
    </w:p>
    <w:p w14:paraId="6B6E81F1" w14:textId="77777777" w:rsidR="00527C7E" w:rsidRPr="00527C7E" w:rsidRDefault="00527C7E" w:rsidP="001659DC">
      <w:pPr>
        <w:pStyle w:val="ListParagraph"/>
        <w:spacing w:line="360" w:lineRule="auto"/>
        <w:ind w:left="1080"/>
        <w:rPr>
          <w:rFonts w:ascii="Times New Roman" w:hAnsi="Times New Roman" w:cs="Times New Roman"/>
          <w:smallCaps/>
          <w:sz w:val="24"/>
          <w:szCs w:val="24"/>
        </w:rPr>
      </w:pPr>
    </w:p>
    <w:p w14:paraId="50AE01E8" w14:textId="0DC55B7A" w:rsidR="00FE79EE" w:rsidRPr="00E9305F" w:rsidRDefault="00527C7E"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lang w:val="en-GB"/>
        </w:rPr>
        <w:t xml:space="preserve">Rights and remedies are fundamentally interdependent. International human rights law recognizes </w:t>
      </w:r>
      <w:r w:rsidR="00A33498">
        <w:rPr>
          <w:rFonts w:ascii="Times New Roman" w:hAnsi="Times New Roman" w:cs="Times New Roman"/>
          <w:sz w:val="24"/>
          <w:szCs w:val="24"/>
          <w:lang w:val="en-GB"/>
        </w:rPr>
        <w:t>that the</w:t>
      </w:r>
      <w:r>
        <w:rPr>
          <w:rFonts w:ascii="Times New Roman" w:hAnsi="Times New Roman" w:cs="Times New Roman"/>
          <w:sz w:val="24"/>
          <w:szCs w:val="24"/>
          <w:lang w:val="en-GB"/>
        </w:rPr>
        <w:t xml:space="preserve"> right to an effective remedy</w:t>
      </w:r>
      <w:r w:rsidR="00A33498">
        <w:rPr>
          <w:rFonts w:ascii="Times New Roman" w:hAnsi="Times New Roman" w:cs="Times New Roman"/>
          <w:sz w:val="24"/>
          <w:szCs w:val="24"/>
          <w:lang w:val="en-GB"/>
        </w:rPr>
        <w:t xml:space="preserve"> is integral to ensuring that substantive rights are adequately protected</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9"/>
      </w:r>
      <w:r>
        <w:rPr>
          <w:rFonts w:ascii="Times New Roman" w:hAnsi="Times New Roman" w:cs="Times New Roman"/>
          <w:sz w:val="24"/>
          <w:szCs w:val="24"/>
          <w:lang w:val="en-GB"/>
        </w:rPr>
        <w:t xml:space="preserve"> </w:t>
      </w:r>
      <w:r w:rsidR="00A33498">
        <w:rPr>
          <w:rFonts w:ascii="Times New Roman" w:hAnsi="Times New Roman" w:cs="Times New Roman"/>
          <w:sz w:val="24"/>
          <w:szCs w:val="24"/>
          <w:lang w:val="en-GB"/>
        </w:rPr>
        <w:t xml:space="preserve"> In the field of business and human rights, this has also been widely recognised, and is </w:t>
      </w:r>
      <w:r w:rsidR="00B64092">
        <w:rPr>
          <w:rFonts w:ascii="Times New Roman" w:hAnsi="Times New Roman" w:cs="Times New Roman"/>
          <w:sz w:val="24"/>
          <w:szCs w:val="24"/>
          <w:lang w:val="en-GB"/>
        </w:rPr>
        <w:t>central to the way in which the UNGPs have been constructed.</w:t>
      </w:r>
      <w:r w:rsidR="00A33498">
        <w:rPr>
          <w:rFonts w:ascii="Times New Roman" w:hAnsi="Times New Roman" w:cs="Times New Roman"/>
          <w:sz w:val="24"/>
          <w:szCs w:val="24"/>
          <w:lang w:val="en-GB"/>
        </w:rPr>
        <w:t xml:space="preserve"> </w:t>
      </w:r>
      <w:r>
        <w:rPr>
          <w:rFonts w:ascii="Times New Roman" w:hAnsi="Times New Roman" w:cs="Times New Roman"/>
          <w:sz w:val="24"/>
          <w:szCs w:val="24"/>
          <w:lang w:val="en-GB"/>
        </w:rPr>
        <w:t>Under the UNGPs, the state must provide effective judicial and non-judicial remedy mechanisms to address business related human rights abuses.</w:t>
      </w:r>
      <w:r>
        <w:rPr>
          <w:rStyle w:val="FootnoteReference"/>
          <w:rFonts w:ascii="Times New Roman" w:hAnsi="Times New Roman" w:cs="Times New Roman"/>
          <w:sz w:val="24"/>
          <w:szCs w:val="24"/>
          <w:lang w:val="en-GB"/>
        </w:rPr>
        <w:footnoteReference w:id="10"/>
      </w:r>
      <w:r>
        <w:rPr>
          <w:rFonts w:ascii="Times New Roman" w:hAnsi="Times New Roman" w:cs="Times New Roman"/>
          <w:sz w:val="24"/>
          <w:szCs w:val="24"/>
          <w:lang w:val="en-GB"/>
        </w:rPr>
        <w:t xml:space="preserve"> </w:t>
      </w:r>
      <w:r w:rsidR="00786C6E">
        <w:rPr>
          <w:rFonts w:ascii="Times New Roman" w:hAnsi="Times New Roman" w:cs="Times New Roman"/>
          <w:sz w:val="24"/>
          <w:szCs w:val="24"/>
          <w:lang w:val="en-GB"/>
        </w:rPr>
        <w:t>In terms of judicial remedies, a</w:t>
      </w:r>
      <w:r w:rsidR="00845CD1">
        <w:rPr>
          <w:rFonts w:ascii="Times New Roman" w:hAnsi="Times New Roman" w:cs="Times New Roman"/>
          <w:sz w:val="24"/>
          <w:szCs w:val="24"/>
          <w:lang w:val="en-GB"/>
        </w:rPr>
        <w:t xml:space="preserve"> </w:t>
      </w:r>
      <w:r w:rsidR="00786C6E">
        <w:rPr>
          <w:rFonts w:ascii="Times New Roman" w:hAnsi="Times New Roman" w:cs="Times New Roman"/>
          <w:sz w:val="24"/>
          <w:szCs w:val="24"/>
          <w:lang w:val="en-GB"/>
        </w:rPr>
        <w:t>t</w:t>
      </w:r>
      <w:r>
        <w:rPr>
          <w:rFonts w:ascii="Times New Roman" w:hAnsi="Times New Roman" w:cs="Times New Roman"/>
          <w:sz w:val="24"/>
          <w:szCs w:val="24"/>
          <w:lang w:val="en-GB"/>
        </w:rPr>
        <w:t>ransnational corporation may be subject to courts enforcing legal human rights norms both in the country where they are headquartered and the host countries where they operate.</w:t>
      </w:r>
      <w:r>
        <w:rPr>
          <w:rStyle w:val="FootnoteReference"/>
          <w:rFonts w:ascii="Times New Roman" w:hAnsi="Times New Roman" w:cs="Times New Roman"/>
          <w:sz w:val="24"/>
          <w:szCs w:val="24"/>
          <w:lang w:val="en-GB"/>
        </w:rPr>
        <w:footnoteReference w:id="11"/>
      </w:r>
      <w:r>
        <w:rPr>
          <w:rFonts w:ascii="Times New Roman" w:hAnsi="Times New Roman" w:cs="Times New Roman"/>
          <w:sz w:val="24"/>
          <w:szCs w:val="24"/>
          <w:lang w:val="en-GB"/>
        </w:rPr>
        <w:t xml:space="preserve"> </w:t>
      </w:r>
      <w:r w:rsidR="00786C6E">
        <w:rPr>
          <w:rFonts w:ascii="Times New Roman" w:hAnsi="Times New Roman" w:cs="Times New Roman"/>
          <w:sz w:val="24"/>
          <w:szCs w:val="24"/>
          <w:lang w:val="en-GB"/>
        </w:rPr>
        <w:t>In terms of n</w:t>
      </w:r>
      <w:r w:rsidR="006F3203">
        <w:rPr>
          <w:rFonts w:ascii="Times New Roman" w:hAnsi="Times New Roman" w:cs="Times New Roman"/>
          <w:sz w:val="24"/>
          <w:szCs w:val="24"/>
          <w:lang w:val="en-GB"/>
        </w:rPr>
        <w:t>on</w:t>
      </w:r>
      <w:r w:rsidR="00786C6E">
        <w:rPr>
          <w:rFonts w:ascii="Times New Roman" w:hAnsi="Times New Roman" w:cs="Times New Roman"/>
          <w:sz w:val="24"/>
          <w:szCs w:val="24"/>
          <w:lang w:val="en-GB"/>
        </w:rPr>
        <w:t>-</w:t>
      </w:r>
      <w:r w:rsidR="006F3203">
        <w:rPr>
          <w:rFonts w:ascii="Times New Roman" w:hAnsi="Times New Roman" w:cs="Times New Roman"/>
          <w:sz w:val="24"/>
          <w:szCs w:val="24"/>
          <w:lang w:val="en-GB"/>
        </w:rPr>
        <w:t xml:space="preserve">judicial </w:t>
      </w:r>
      <w:r w:rsidR="00786C6E">
        <w:rPr>
          <w:rFonts w:ascii="Times New Roman" w:hAnsi="Times New Roman" w:cs="Times New Roman"/>
          <w:sz w:val="24"/>
          <w:szCs w:val="24"/>
          <w:lang w:val="en-GB"/>
        </w:rPr>
        <w:t>remedies,</w:t>
      </w:r>
      <w:r>
        <w:rPr>
          <w:rFonts w:ascii="Times New Roman" w:hAnsi="Times New Roman" w:cs="Times New Roman"/>
          <w:sz w:val="24"/>
          <w:szCs w:val="24"/>
          <w:lang w:val="en-GB"/>
        </w:rPr>
        <w:t xml:space="preserve"> states</w:t>
      </w:r>
      <w:r w:rsidR="00582862">
        <w:rPr>
          <w:rFonts w:ascii="Times New Roman" w:hAnsi="Times New Roman" w:cs="Times New Roman"/>
          <w:sz w:val="24"/>
          <w:szCs w:val="24"/>
          <w:lang w:val="en-GB"/>
        </w:rPr>
        <w:t xml:space="preserve"> should create</w:t>
      </w:r>
      <w:r w:rsidR="00786C6E">
        <w:rPr>
          <w:rFonts w:ascii="Times New Roman" w:hAnsi="Times New Roman" w:cs="Times New Roman"/>
          <w:sz w:val="24"/>
          <w:szCs w:val="24"/>
          <w:lang w:val="en-GB"/>
        </w:rPr>
        <w:t xml:space="preserve"> their own </w:t>
      </w:r>
      <w:r w:rsidR="00582862">
        <w:rPr>
          <w:rFonts w:ascii="Times New Roman" w:hAnsi="Times New Roman" w:cs="Times New Roman"/>
          <w:sz w:val="24"/>
          <w:szCs w:val="24"/>
          <w:lang w:val="en-GB"/>
        </w:rPr>
        <w:t xml:space="preserve">accountability </w:t>
      </w:r>
      <w:r w:rsidR="00786C6E">
        <w:rPr>
          <w:rFonts w:ascii="Times New Roman" w:hAnsi="Times New Roman" w:cs="Times New Roman"/>
          <w:sz w:val="24"/>
          <w:szCs w:val="24"/>
          <w:lang w:val="en-GB"/>
        </w:rPr>
        <w:t xml:space="preserve">mechanisms </w:t>
      </w:r>
      <w:r w:rsidR="00582862">
        <w:rPr>
          <w:rFonts w:ascii="Times New Roman" w:hAnsi="Times New Roman" w:cs="Times New Roman"/>
          <w:sz w:val="24"/>
          <w:szCs w:val="24"/>
          <w:lang w:val="en-GB"/>
        </w:rPr>
        <w:t>as well as</w:t>
      </w:r>
      <w:r w:rsidR="00786C6E">
        <w:rPr>
          <w:rFonts w:ascii="Times New Roman" w:hAnsi="Times New Roman" w:cs="Times New Roman"/>
          <w:sz w:val="24"/>
          <w:szCs w:val="24"/>
          <w:lang w:val="en-GB"/>
        </w:rPr>
        <w:t xml:space="preserve"> </w:t>
      </w:r>
      <w:r>
        <w:rPr>
          <w:rFonts w:ascii="Times New Roman" w:hAnsi="Times New Roman" w:cs="Times New Roman"/>
          <w:sz w:val="24"/>
          <w:szCs w:val="24"/>
          <w:lang w:val="en-GB"/>
        </w:rPr>
        <w:t>cooperat</w:t>
      </w:r>
      <w:r w:rsidR="00582862">
        <w:rPr>
          <w:rFonts w:ascii="Times New Roman" w:hAnsi="Times New Roman" w:cs="Times New Roman"/>
          <w:sz w:val="24"/>
          <w:szCs w:val="24"/>
          <w:lang w:val="en-GB"/>
        </w:rPr>
        <w:t>ing</w:t>
      </w:r>
      <w:r>
        <w:rPr>
          <w:rFonts w:ascii="Times New Roman" w:hAnsi="Times New Roman" w:cs="Times New Roman"/>
          <w:sz w:val="24"/>
          <w:szCs w:val="24"/>
          <w:lang w:val="en-GB"/>
        </w:rPr>
        <w:t xml:space="preserve"> </w:t>
      </w:r>
      <w:r w:rsidR="00786C6E">
        <w:rPr>
          <w:rFonts w:ascii="Times New Roman" w:hAnsi="Times New Roman" w:cs="Times New Roman"/>
          <w:sz w:val="24"/>
          <w:szCs w:val="24"/>
          <w:lang w:val="en-GB"/>
        </w:rPr>
        <w:t>through</w:t>
      </w:r>
      <w:r>
        <w:rPr>
          <w:rFonts w:ascii="Times New Roman" w:hAnsi="Times New Roman" w:cs="Times New Roman"/>
          <w:sz w:val="24"/>
          <w:szCs w:val="24"/>
          <w:lang w:val="en-GB"/>
        </w:rPr>
        <w:t xml:space="preserve"> institutions such as the OECD National Contact Point system. </w:t>
      </w:r>
      <w:r w:rsidR="00453F6A">
        <w:rPr>
          <w:rFonts w:ascii="Times New Roman" w:hAnsi="Times New Roman" w:cs="Times New Roman"/>
          <w:sz w:val="24"/>
          <w:szCs w:val="24"/>
          <w:lang w:val="en-GB"/>
        </w:rPr>
        <w:t>The role of</w:t>
      </w:r>
      <w:r w:rsidR="00582862">
        <w:rPr>
          <w:rFonts w:ascii="Times New Roman" w:hAnsi="Times New Roman" w:cs="Times New Roman"/>
          <w:sz w:val="24"/>
          <w:szCs w:val="24"/>
          <w:lang w:val="en-GB"/>
        </w:rPr>
        <w:t xml:space="preserve"> NSBGMs </w:t>
      </w:r>
      <w:r w:rsidR="00871429">
        <w:rPr>
          <w:rFonts w:ascii="Times New Roman" w:hAnsi="Times New Roman" w:cs="Times New Roman"/>
          <w:sz w:val="24"/>
          <w:szCs w:val="24"/>
          <w:lang w:val="en-GB"/>
        </w:rPr>
        <w:t>in complementing</w:t>
      </w:r>
      <w:r w:rsidR="00453F6A">
        <w:rPr>
          <w:rFonts w:ascii="Times New Roman" w:hAnsi="Times New Roman" w:cs="Times New Roman"/>
          <w:sz w:val="24"/>
          <w:szCs w:val="24"/>
          <w:lang w:val="en-GB"/>
        </w:rPr>
        <w:t xml:space="preserve"> these other mechanisms is discussed below</w:t>
      </w:r>
      <w:r w:rsidR="00582862">
        <w:rPr>
          <w:rFonts w:ascii="Times New Roman" w:hAnsi="Times New Roman" w:cs="Times New Roman"/>
          <w:sz w:val="24"/>
          <w:szCs w:val="24"/>
          <w:lang w:val="en-GB"/>
        </w:rPr>
        <w:t>.</w:t>
      </w:r>
      <w:r w:rsidR="00AB64E3">
        <w:rPr>
          <w:rFonts w:ascii="Times New Roman" w:hAnsi="Times New Roman" w:cs="Times New Roman"/>
          <w:sz w:val="24"/>
          <w:szCs w:val="24"/>
          <w:lang w:val="en-GB"/>
        </w:rPr>
        <w:t xml:space="preserve"> </w:t>
      </w:r>
      <w:r w:rsidR="00013516">
        <w:rPr>
          <w:rFonts w:ascii="Times New Roman" w:hAnsi="Times New Roman" w:cs="Times New Roman"/>
          <w:sz w:val="24"/>
          <w:szCs w:val="24"/>
          <w:lang w:val="en-GB"/>
        </w:rPr>
        <w:t>S</w:t>
      </w:r>
      <w:r w:rsidR="00ED5218">
        <w:rPr>
          <w:rFonts w:ascii="Times New Roman" w:hAnsi="Times New Roman" w:cs="Times New Roman"/>
          <w:sz w:val="24"/>
          <w:szCs w:val="24"/>
          <w:lang w:val="en-GB"/>
        </w:rPr>
        <w:t xml:space="preserve">ignificant work has been undertaken to map out the extent of this </w:t>
      </w:r>
      <w:r w:rsidR="00184E70">
        <w:rPr>
          <w:rFonts w:ascii="Times New Roman" w:hAnsi="Times New Roman" w:cs="Times New Roman"/>
          <w:sz w:val="24"/>
          <w:szCs w:val="24"/>
          <w:lang w:val="en-GB"/>
        </w:rPr>
        <w:t xml:space="preserve">patchwork of </w:t>
      </w:r>
      <w:r w:rsidR="00ED5218">
        <w:rPr>
          <w:rFonts w:ascii="Times New Roman" w:hAnsi="Times New Roman" w:cs="Times New Roman"/>
          <w:sz w:val="24"/>
          <w:szCs w:val="24"/>
          <w:lang w:val="en-GB"/>
        </w:rPr>
        <w:t>remed</w:t>
      </w:r>
      <w:r w:rsidR="00184E70">
        <w:rPr>
          <w:rFonts w:ascii="Times New Roman" w:hAnsi="Times New Roman" w:cs="Times New Roman"/>
          <w:sz w:val="24"/>
          <w:szCs w:val="24"/>
          <w:lang w:val="en-GB"/>
        </w:rPr>
        <w:t>ies</w:t>
      </w:r>
      <w:r w:rsidR="00ED5218">
        <w:rPr>
          <w:rFonts w:ascii="Times New Roman" w:hAnsi="Times New Roman" w:cs="Times New Roman"/>
          <w:sz w:val="24"/>
          <w:szCs w:val="24"/>
          <w:lang w:val="en-GB"/>
        </w:rPr>
        <w:t>.</w:t>
      </w:r>
      <w:r w:rsidR="00ED5218">
        <w:rPr>
          <w:rStyle w:val="FootnoteReference"/>
          <w:rFonts w:ascii="Times New Roman" w:hAnsi="Times New Roman" w:cs="Times New Roman"/>
          <w:sz w:val="24"/>
          <w:szCs w:val="24"/>
          <w:lang w:val="en-GB"/>
        </w:rPr>
        <w:footnoteReference w:id="12"/>
      </w:r>
      <w:r w:rsidR="00ED5218">
        <w:rPr>
          <w:rFonts w:ascii="Times New Roman" w:hAnsi="Times New Roman" w:cs="Times New Roman"/>
          <w:sz w:val="24"/>
          <w:szCs w:val="24"/>
          <w:lang w:val="en-GB"/>
        </w:rPr>
        <w:t xml:space="preserve"> </w:t>
      </w:r>
      <w:r w:rsidR="00013516">
        <w:rPr>
          <w:rFonts w:ascii="Times New Roman" w:hAnsi="Times New Roman" w:cs="Times New Roman"/>
          <w:sz w:val="24"/>
          <w:szCs w:val="24"/>
          <w:lang w:val="en-GB"/>
        </w:rPr>
        <w:t>T</w:t>
      </w:r>
      <w:r>
        <w:rPr>
          <w:rFonts w:ascii="Times New Roman" w:hAnsi="Times New Roman" w:cs="Times New Roman"/>
          <w:sz w:val="24"/>
          <w:szCs w:val="24"/>
          <w:lang w:val="en-GB"/>
        </w:rPr>
        <w:t xml:space="preserve">here is </w:t>
      </w:r>
      <w:r w:rsidR="00013516">
        <w:rPr>
          <w:rFonts w:ascii="Times New Roman" w:hAnsi="Times New Roman" w:cs="Times New Roman"/>
          <w:sz w:val="24"/>
          <w:szCs w:val="24"/>
          <w:lang w:val="en-GB"/>
        </w:rPr>
        <w:t xml:space="preserve">also </w:t>
      </w:r>
      <w:r w:rsidR="00786C6E">
        <w:rPr>
          <w:rFonts w:ascii="Times New Roman" w:hAnsi="Times New Roman" w:cs="Times New Roman"/>
          <w:sz w:val="24"/>
          <w:szCs w:val="24"/>
          <w:lang w:val="en-GB"/>
        </w:rPr>
        <w:t xml:space="preserve">an </w:t>
      </w:r>
      <w:r w:rsidR="009A2B6D">
        <w:rPr>
          <w:rFonts w:ascii="Times New Roman" w:hAnsi="Times New Roman" w:cs="Times New Roman"/>
          <w:sz w:val="24"/>
          <w:szCs w:val="24"/>
          <w:lang w:val="en-GB"/>
        </w:rPr>
        <w:t>emerging</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debate over the effectiveness</w:t>
      </w:r>
      <w:r w:rsidR="00786C6E">
        <w:rPr>
          <w:rFonts w:ascii="Times New Roman" w:hAnsi="Times New Roman" w:cs="Times New Roman"/>
          <w:sz w:val="24"/>
          <w:szCs w:val="24"/>
          <w:lang w:val="en-GB"/>
        </w:rPr>
        <w:t xml:space="preserve"> </w:t>
      </w:r>
      <w:r w:rsidR="00ED5218">
        <w:rPr>
          <w:rFonts w:ascii="Times New Roman" w:hAnsi="Times New Roman" w:cs="Times New Roman"/>
          <w:sz w:val="24"/>
          <w:szCs w:val="24"/>
          <w:lang w:val="en-GB"/>
        </w:rPr>
        <w:t xml:space="preserve">of these </w:t>
      </w:r>
      <w:r w:rsidR="00786C6E">
        <w:rPr>
          <w:rFonts w:ascii="Times New Roman" w:hAnsi="Times New Roman" w:cs="Times New Roman"/>
          <w:sz w:val="24"/>
          <w:szCs w:val="24"/>
          <w:lang w:val="en-GB"/>
        </w:rPr>
        <w:t xml:space="preserve">mechanisms </w:t>
      </w:r>
      <w:r>
        <w:rPr>
          <w:rFonts w:ascii="Times New Roman" w:hAnsi="Times New Roman" w:cs="Times New Roman"/>
          <w:sz w:val="24"/>
          <w:szCs w:val="24"/>
          <w:lang w:val="en-GB"/>
        </w:rPr>
        <w:t xml:space="preserve"> to provide remed</w:t>
      </w:r>
      <w:r w:rsidR="00ED5218">
        <w:rPr>
          <w:rFonts w:ascii="Times New Roman" w:hAnsi="Times New Roman" w:cs="Times New Roman"/>
          <w:sz w:val="24"/>
          <w:szCs w:val="24"/>
          <w:lang w:val="en-GB"/>
        </w:rPr>
        <w:t>ies</w:t>
      </w:r>
      <w:r>
        <w:rPr>
          <w:rFonts w:ascii="Times New Roman" w:hAnsi="Times New Roman" w:cs="Times New Roman"/>
          <w:sz w:val="24"/>
          <w:szCs w:val="24"/>
          <w:lang w:val="en-GB"/>
        </w:rPr>
        <w:t xml:space="preserve"> to rightsholders.</w:t>
      </w:r>
      <w:r>
        <w:rPr>
          <w:rStyle w:val="FootnoteReference"/>
          <w:rFonts w:ascii="Times New Roman" w:hAnsi="Times New Roman" w:cs="Times New Roman"/>
          <w:sz w:val="24"/>
          <w:szCs w:val="24"/>
          <w:lang w:val="en-GB"/>
        </w:rPr>
        <w:footnoteReference w:id="13"/>
      </w:r>
      <w:r>
        <w:rPr>
          <w:rFonts w:ascii="Times New Roman" w:hAnsi="Times New Roman" w:cs="Times New Roman"/>
          <w:sz w:val="24"/>
          <w:szCs w:val="24"/>
          <w:lang w:val="en-GB"/>
        </w:rPr>
        <w:t xml:space="preserve"> </w:t>
      </w:r>
      <w:r w:rsidR="00513382">
        <w:rPr>
          <w:rFonts w:ascii="Times New Roman" w:hAnsi="Times New Roman" w:cs="Times New Roman"/>
          <w:sz w:val="24"/>
          <w:szCs w:val="24"/>
        </w:rPr>
        <w:t>Recent work which has sought to survey the current situation</w:t>
      </w:r>
      <w:r w:rsidR="00513382" w:rsidRPr="00E07B7E">
        <w:rPr>
          <w:rFonts w:ascii="Times New Roman" w:hAnsi="Times New Roman" w:cs="Times New Roman"/>
          <w:sz w:val="24"/>
          <w:szCs w:val="24"/>
        </w:rPr>
        <w:t xml:space="preserve"> in relation to judicial remed</w:t>
      </w:r>
      <w:r w:rsidR="00513382" w:rsidRPr="001C6A5E">
        <w:rPr>
          <w:rFonts w:ascii="Times New Roman" w:hAnsi="Times New Roman" w:cs="Times New Roman"/>
          <w:sz w:val="24"/>
          <w:szCs w:val="24"/>
        </w:rPr>
        <w:t>ies in</w:t>
      </w:r>
      <w:r w:rsidR="00513382">
        <w:rPr>
          <w:rFonts w:ascii="Times New Roman" w:hAnsi="Times New Roman" w:cs="Times New Roman"/>
          <w:sz w:val="24"/>
          <w:szCs w:val="24"/>
        </w:rPr>
        <w:t xml:space="preserve"> domestic jurisdictions has</w:t>
      </w:r>
      <w:r w:rsidR="00513382" w:rsidRPr="001C6A5E">
        <w:rPr>
          <w:rFonts w:ascii="Times New Roman" w:hAnsi="Times New Roman" w:cs="Times New Roman"/>
          <w:sz w:val="24"/>
          <w:szCs w:val="24"/>
        </w:rPr>
        <w:t xml:space="preserve"> found </w:t>
      </w:r>
      <w:r w:rsidR="00513382">
        <w:rPr>
          <w:rFonts w:ascii="Times New Roman" w:hAnsi="Times New Roman" w:cs="Times New Roman"/>
          <w:sz w:val="24"/>
          <w:szCs w:val="24"/>
        </w:rPr>
        <w:t xml:space="preserve">it </w:t>
      </w:r>
      <w:r w:rsidR="00513382" w:rsidRPr="001C6A5E">
        <w:rPr>
          <w:rFonts w:ascii="Times New Roman" w:hAnsi="Times New Roman" w:cs="Times New Roman"/>
          <w:sz w:val="24"/>
          <w:szCs w:val="24"/>
        </w:rPr>
        <w:t>to be</w:t>
      </w:r>
      <w:r w:rsidR="00513382" w:rsidRPr="00E07B7E">
        <w:rPr>
          <w:rFonts w:ascii="Times New Roman" w:hAnsi="Times New Roman" w:cs="Times New Roman"/>
          <w:sz w:val="24"/>
          <w:szCs w:val="24"/>
        </w:rPr>
        <w:t xml:space="preserve"> “patchy, unpredictable, often ineffective and fragile</w:t>
      </w:r>
      <w:r w:rsidR="00513382">
        <w:rPr>
          <w:rFonts w:ascii="Times New Roman" w:hAnsi="Times New Roman" w:cs="Times New Roman"/>
          <w:sz w:val="24"/>
          <w:szCs w:val="24"/>
        </w:rPr>
        <w:t>,</w:t>
      </w:r>
      <w:r w:rsidR="00513382" w:rsidRPr="00E07B7E">
        <w:rPr>
          <w:rFonts w:ascii="Times New Roman" w:hAnsi="Times New Roman" w:cs="Times New Roman"/>
          <w:sz w:val="24"/>
          <w:szCs w:val="24"/>
        </w:rPr>
        <w:t>”</w:t>
      </w:r>
      <w:r w:rsidR="00513382" w:rsidRPr="003C518C">
        <w:rPr>
          <w:rStyle w:val="FootnoteReference"/>
          <w:rFonts w:ascii="Times New Roman" w:hAnsi="Times New Roman" w:cs="Times New Roman"/>
          <w:sz w:val="24"/>
          <w:szCs w:val="24"/>
        </w:rPr>
        <w:t xml:space="preserve"> </w:t>
      </w:r>
      <w:r w:rsidR="00513382" w:rsidRPr="00EF73A3">
        <w:rPr>
          <w:rStyle w:val="FootnoteReference"/>
          <w:rFonts w:ascii="Times New Roman" w:hAnsi="Times New Roman" w:cs="Times New Roman"/>
          <w:sz w:val="24"/>
          <w:szCs w:val="24"/>
        </w:rPr>
        <w:footnoteReference w:id="14"/>
      </w:r>
      <w:r w:rsidR="00513382" w:rsidRPr="001C6A5E">
        <w:rPr>
          <w:rFonts w:ascii="Times New Roman" w:hAnsi="Times New Roman" w:cs="Times New Roman"/>
          <w:sz w:val="24"/>
          <w:szCs w:val="24"/>
        </w:rPr>
        <w:t xml:space="preserve"> while</w:t>
      </w:r>
      <w:r w:rsidR="00513382" w:rsidRPr="00E07B7E">
        <w:rPr>
          <w:rFonts w:ascii="Times New Roman" w:hAnsi="Times New Roman" w:cs="Times New Roman"/>
          <w:sz w:val="24"/>
          <w:szCs w:val="24"/>
        </w:rPr>
        <w:t xml:space="preserve"> government-sponsored non-judicial mechanisms in many situations do not offer “an accessible or realistic route to an effect</w:t>
      </w:r>
      <w:r w:rsidR="00513382" w:rsidRPr="001C6A5E">
        <w:rPr>
          <w:rFonts w:ascii="Times New Roman" w:hAnsi="Times New Roman" w:cs="Times New Roman"/>
          <w:sz w:val="24"/>
          <w:szCs w:val="24"/>
        </w:rPr>
        <w:t>ive remedy</w:t>
      </w:r>
      <w:r w:rsidR="00513382">
        <w:rPr>
          <w:rFonts w:ascii="Times New Roman" w:hAnsi="Times New Roman" w:cs="Times New Roman"/>
          <w:sz w:val="24"/>
          <w:szCs w:val="24"/>
        </w:rPr>
        <w:t>.</w:t>
      </w:r>
      <w:r w:rsidR="00513382" w:rsidRPr="00E07B7E">
        <w:rPr>
          <w:rFonts w:ascii="Times New Roman" w:hAnsi="Times New Roman" w:cs="Times New Roman"/>
          <w:sz w:val="24"/>
          <w:szCs w:val="24"/>
        </w:rPr>
        <w:t>”</w:t>
      </w:r>
      <w:r w:rsidR="00513382" w:rsidRPr="00E07B7E">
        <w:rPr>
          <w:rFonts w:ascii="Times New Roman" w:hAnsi="Times New Roman" w:cs="Times New Roman"/>
          <w:sz w:val="24"/>
          <w:szCs w:val="24"/>
          <w:vertAlign w:val="superscript"/>
        </w:rPr>
        <w:footnoteReference w:id="15"/>
      </w:r>
      <w:r w:rsidR="00513382" w:rsidRPr="001C6A5E">
        <w:rPr>
          <w:rFonts w:ascii="Times New Roman" w:hAnsi="Times New Roman" w:cs="Times New Roman"/>
          <w:sz w:val="24"/>
          <w:szCs w:val="24"/>
        </w:rPr>
        <w:t xml:space="preserve"> </w:t>
      </w:r>
      <w:r w:rsidR="00ED5218">
        <w:rPr>
          <w:rFonts w:ascii="Times New Roman" w:hAnsi="Times New Roman" w:cs="Times New Roman"/>
          <w:sz w:val="24"/>
          <w:szCs w:val="24"/>
          <w:lang w:val="en-GB"/>
        </w:rPr>
        <w:t xml:space="preserve">Concern over the </w:t>
      </w:r>
      <w:r w:rsidR="00453F6A">
        <w:rPr>
          <w:rFonts w:ascii="Times New Roman" w:hAnsi="Times New Roman" w:cs="Times New Roman"/>
          <w:sz w:val="24"/>
          <w:szCs w:val="24"/>
          <w:lang w:val="en-GB"/>
        </w:rPr>
        <w:t xml:space="preserve">current </w:t>
      </w:r>
      <w:r w:rsidR="00ED5218">
        <w:rPr>
          <w:rFonts w:ascii="Times New Roman" w:hAnsi="Times New Roman" w:cs="Times New Roman"/>
          <w:sz w:val="24"/>
          <w:szCs w:val="24"/>
          <w:lang w:val="en-GB"/>
        </w:rPr>
        <w:t>inadequac</w:t>
      </w:r>
      <w:r w:rsidR="00453F6A">
        <w:rPr>
          <w:rFonts w:ascii="Times New Roman" w:hAnsi="Times New Roman" w:cs="Times New Roman"/>
          <w:sz w:val="24"/>
          <w:szCs w:val="24"/>
          <w:lang w:val="en-GB"/>
        </w:rPr>
        <w:t>ies</w:t>
      </w:r>
      <w:r w:rsidR="00ED5218">
        <w:rPr>
          <w:rFonts w:ascii="Times New Roman" w:hAnsi="Times New Roman" w:cs="Times New Roman"/>
          <w:sz w:val="24"/>
          <w:szCs w:val="24"/>
          <w:lang w:val="en-GB"/>
        </w:rPr>
        <w:t xml:space="preserve"> is perhaps best demonstrated by the significant political and academic support for a binding human rights treaty. A key attraction of</w:t>
      </w:r>
      <w:r w:rsidR="00582862">
        <w:rPr>
          <w:rFonts w:ascii="Times New Roman" w:hAnsi="Times New Roman" w:cs="Times New Roman"/>
          <w:sz w:val="24"/>
          <w:szCs w:val="24"/>
          <w:lang w:val="en-GB"/>
        </w:rPr>
        <w:t xml:space="preserve"> </w:t>
      </w:r>
      <w:r w:rsidR="00ED5218">
        <w:rPr>
          <w:rFonts w:ascii="Times New Roman" w:hAnsi="Times New Roman" w:cs="Times New Roman"/>
          <w:sz w:val="24"/>
          <w:szCs w:val="24"/>
          <w:lang w:val="en-GB"/>
        </w:rPr>
        <w:t xml:space="preserve">such a treaty </w:t>
      </w:r>
      <w:r w:rsidR="00582862">
        <w:rPr>
          <w:rFonts w:ascii="Times New Roman" w:hAnsi="Times New Roman" w:cs="Times New Roman"/>
          <w:sz w:val="24"/>
          <w:szCs w:val="24"/>
          <w:lang w:val="en-GB"/>
        </w:rPr>
        <w:t>is</w:t>
      </w:r>
      <w:r w:rsidR="00ED5218">
        <w:rPr>
          <w:rFonts w:ascii="Times New Roman" w:hAnsi="Times New Roman" w:cs="Times New Roman"/>
          <w:sz w:val="24"/>
          <w:szCs w:val="24"/>
          <w:lang w:val="en-GB"/>
        </w:rPr>
        <w:t xml:space="preserve"> its capacity to provide more effective remedies to rightsholders.</w:t>
      </w:r>
      <w:r w:rsidR="00453F6A">
        <w:rPr>
          <w:rStyle w:val="FootnoteReference"/>
          <w:rFonts w:ascii="Times New Roman" w:hAnsi="Times New Roman" w:cs="Times New Roman"/>
          <w:sz w:val="24"/>
          <w:szCs w:val="24"/>
          <w:lang w:val="en-GB"/>
        </w:rPr>
        <w:footnoteReference w:id="16"/>
      </w:r>
      <w:r w:rsidR="00ED521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582862">
        <w:rPr>
          <w:rFonts w:ascii="Times New Roman" w:hAnsi="Times New Roman" w:cs="Times New Roman"/>
          <w:sz w:val="24"/>
          <w:szCs w:val="24"/>
        </w:rPr>
        <w:t xml:space="preserve">Our contribution focuses on one particular aspect of the </w:t>
      </w:r>
      <w:proofErr w:type="gramStart"/>
      <w:r w:rsidR="00582862">
        <w:rPr>
          <w:rFonts w:ascii="Times New Roman" w:hAnsi="Times New Roman" w:cs="Times New Roman"/>
          <w:sz w:val="24"/>
          <w:szCs w:val="24"/>
        </w:rPr>
        <w:t>remedies</w:t>
      </w:r>
      <w:proofErr w:type="gramEnd"/>
      <w:r w:rsidR="00582862">
        <w:rPr>
          <w:rFonts w:ascii="Times New Roman" w:hAnsi="Times New Roman" w:cs="Times New Roman"/>
          <w:sz w:val="24"/>
          <w:szCs w:val="24"/>
        </w:rPr>
        <w:t xml:space="preserve"> ecosystem, NSBGMs. </w:t>
      </w:r>
      <w:r w:rsidR="00513382">
        <w:rPr>
          <w:rFonts w:ascii="Times New Roman" w:hAnsi="Times New Roman" w:cs="Times New Roman"/>
          <w:sz w:val="24"/>
          <w:szCs w:val="24"/>
        </w:rPr>
        <w:t>More than in relation to other forms of remedy, t</w:t>
      </w:r>
      <w:r w:rsidR="00582862">
        <w:rPr>
          <w:rFonts w:ascii="Times New Roman" w:hAnsi="Times New Roman" w:cs="Times New Roman"/>
          <w:sz w:val="24"/>
          <w:szCs w:val="24"/>
        </w:rPr>
        <w:t xml:space="preserve">here is a debate about the </w:t>
      </w:r>
      <w:r w:rsidR="00582862" w:rsidRPr="00513382">
        <w:rPr>
          <w:rFonts w:ascii="Times New Roman" w:hAnsi="Times New Roman" w:cs="Times New Roman"/>
          <w:i/>
          <w:sz w:val="24"/>
          <w:szCs w:val="24"/>
        </w:rPr>
        <w:t xml:space="preserve">inherent </w:t>
      </w:r>
      <w:r w:rsidR="00582862">
        <w:rPr>
          <w:rFonts w:ascii="Times New Roman" w:hAnsi="Times New Roman" w:cs="Times New Roman"/>
          <w:sz w:val="24"/>
          <w:szCs w:val="24"/>
        </w:rPr>
        <w:t>cap</w:t>
      </w:r>
      <w:r w:rsidR="00E9305F">
        <w:rPr>
          <w:rFonts w:ascii="Times New Roman" w:hAnsi="Times New Roman" w:cs="Times New Roman"/>
          <w:sz w:val="24"/>
          <w:szCs w:val="24"/>
        </w:rPr>
        <w:t>acity of these</w:t>
      </w:r>
      <w:r w:rsidR="00582862">
        <w:rPr>
          <w:rFonts w:ascii="Times New Roman" w:hAnsi="Times New Roman" w:cs="Times New Roman"/>
          <w:sz w:val="24"/>
          <w:szCs w:val="24"/>
        </w:rPr>
        <w:t xml:space="preserve"> mechanisms to </w:t>
      </w:r>
      <w:r w:rsidR="00E9305F">
        <w:rPr>
          <w:rFonts w:ascii="Times New Roman" w:hAnsi="Times New Roman" w:cs="Times New Roman"/>
          <w:sz w:val="24"/>
          <w:szCs w:val="24"/>
        </w:rPr>
        <w:t xml:space="preserve">play any kind of legitimate or meaningful role in addressing </w:t>
      </w:r>
      <w:r w:rsidR="00582862" w:rsidRPr="00582862">
        <w:rPr>
          <w:rFonts w:ascii="Times New Roman" w:hAnsi="Times New Roman" w:cs="Times New Roman"/>
          <w:sz w:val="24"/>
          <w:szCs w:val="24"/>
        </w:rPr>
        <w:t>human rights-related disputes betwe</w:t>
      </w:r>
      <w:r w:rsidR="00E9305F">
        <w:rPr>
          <w:rFonts w:ascii="Times New Roman" w:hAnsi="Times New Roman" w:cs="Times New Roman"/>
          <w:sz w:val="24"/>
          <w:szCs w:val="24"/>
        </w:rPr>
        <w:t>en companies and rightsholders</w:t>
      </w:r>
      <w:r w:rsidR="00785939">
        <w:rPr>
          <w:rFonts w:ascii="Times New Roman" w:hAnsi="Times New Roman" w:cs="Times New Roman"/>
          <w:sz w:val="24"/>
          <w:szCs w:val="24"/>
        </w:rPr>
        <w:t>;</w:t>
      </w:r>
      <w:r w:rsidR="00E9305F">
        <w:rPr>
          <w:rStyle w:val="FootnoteReference"/>
          <w:rFonts w:ascii="Times New Roman" w:hAnsi="Times New Roman" w:cs="Times New Roman"/>
          <w:sz w:val="24"/>
          <w:szCs w:val="24"/>
        </w:rPr>
        <w:footnoteReference w:id="17"/>
      </w:r>
      <w:r w:rsidR="00453F6A">
        <w:rPr>
          <w:rFonts w:ascii="Times New Roman" w:hAnsi="Times New Roman" w:cs="Times New Roman"/>
          <w:sz w:val="24"/>
          <w:szCs w:val="24"/>
        </w:rPr>
        <w:t xml:space="preserve"> </w:t>
      </w:r>
      <w:r w:rsidR="00785939">
        <w:rPr>
          <w:rFonts w:ascii="Times New Roman" w:hAnsi="Times New Roman" w:cs="Times New Roman"/>
          <w:sz w:val="24"/>
          <w:szCs w:val="24"/>
        </w:rPr>
        <w:t>While sceptics argue such mechanisms are unsuited to addressing the conflicts that arise between companies and communities, other commentators, as well as</w:t>
      </w:r>
      <w:r w:rsidR="00453F6A">
        <w:rPr>
          <w:rFonts w:ascii="Times New Roman" w:hAnsi="Times New Roman" w:cs="Times New Roman"/>
          <w:sz w:val="24"/>
          <w:szCs w:val="24"/>
        </w:rPr>
        <w:t xml:space="preserve"> k</w:t>
      </w:r>
      <w:r w:rsidR="00513382">
        <w:rPr>
          <w:rFonts w:ascii="Times New Roman" w:hAnsi="Times New Roman" w:cs="Times New Roman"/>
          <w:sz w:val="24"/>
          <w:szCs w:val="24"/>
        </w:rPr>
        <w:t xml:space="preserve">ey UN actors have been keen to stress that NSBGMs </w:t>
      </w:r>
      <w:r w:rsidR="00453F6A">
        <w:rPr>
          <w:rFonts w:ascii="Times New Roman" w:hAnsi="Times New Roman" w:cs="Times New Roman"/>
          <w:sz w:val="24"/>
          <w:szCs w:val="24"/>
        </w:rPr>
        <w:t xml:space="preserve">do </w:t>
      </w:r>
      <w:r w:rsidR="00513382">
        <w:rPr>
          <w:rFonts w:ascii="Times New Roman" w:hAnsi="Times New Roman" w:cs="Times New Roman"/>
          <w:sz w:val="24"/>
          <w:szCs w:val="24"/>
        </w:rPr>
        <w:t xml:space="preserve">have an important role to play. John Ruggie argued that </w:t>
      </w:r>
      <w:r w:rsidR="00453F6A">
        <w:rPr>
          <w:rFonts w:ascii="Times New Roman" w:hAnsi="Times New Roman" w:cs="Times New Roman"/>
          <w:sz w:val="24"/>
          <w:szCs w:val="24"/>
        </w:rPr>
        <w:t xml:space="preserve">while </w:t>
      </w:r>
      <w:r w:rsidR="00CF6AA4" w:rsidRPr="00EF73A3">
        <w:rPr>
          <w:rFonts w:ascii="Times New Roman" w:hAnsi="Times New Roman" w:cs="Times New Roman"/>
          <w:sz w:val="24"/>
          <w:szCs w:val="24"/>
        </w:rPr>
        <w:t>judicial remedies were central to ensuring access to remedy globally</w:t>
      </w:r>
      <w:r w:rsidR="00785939">
        <w:rPr>
          <w:rFonts w:ascii="Times New Roman" w:hAnsi="Times New Roman" w:cs="Times New Roman"/>
          <w:sz w:val="24"/>
          <w:szCs w:val="24"/>
        </w:rPr>
        <w:t>,</w:t>
      </w:r>
      <w:r w:rsidR="00CF6AA4">
        <w:rPr>
          <w:rFonts w:ascii="Times New Roman" w:hAnsi="Times New Roman" w:cs="Times New Roman"/>
          <w:sz w:val="24"/>
          <w:szCs w:val="24"/>
        </w:rPr>
        <w:t xml:space="preserve"> </w:t>
      </w:r>
      <w:r w:rsidR="00513382">
        <w:rPr>
          <w:rFonts w:ascii="Times New Roman" w:hAnsi="Times New Roman" w:cs="Times New Roman"/>
          <w:sz w:val="24"/>
          <w:szCs w:val="24"/>
        </w:rPr>
        <w:t xml:space="preserve">both </w:t>
      </w:r>
      <w:r w:rsidR="00CF6AA4">
        <w:rPr>
          <w:rFonts w:ascii="Times New Roman" w:hAnsi="Times New Roman" w:cs="Times New Roman"/>
          <w:sz w:val="24"/>
          <w:szCs w:val="24"/>
        </w:rPr>
        <w:t>g</w:t>
      </w:r>
      <w:r w:rsidR="00CF6AA4" w:rsidRPr="00CF6AA4">
        <w:rPr>
          <w:rFonts w:ascii="Times New Roman" w:hAnsi="Times New Roman" w:cs="Times New Roman"/>
          <w:sz w:val="24"/>
          <w:szCs w:val="24"/>
        </w:rPr>
        <w:t xml:space="preserve">overnment-sponsored non-judicial </w:t>
      </w:r>
      <w:r w:rsidR="00CF6AA4" w:rsidRPr="00CF6AA4">
        <w:rPr>
          <w:rFonts w:ascii="Times New Roman" w:hAnsi="Times New Roman" w:cs="Times New Roman"/>
          <w:sz w:val="24"/>
          <w:szCs w:val="24"/>
        </w:rPr>
        <w:lastRenderedPageBreak/>
        <w:t xml:space="preserve">mechanisms </w:t>
      </w:r>
      <w:r w:rsidR="00513382">
        <w:rPr>
          <w:rFonts w:ascii="Times New Roman" w:hAnsi="Times New Roman" w:cs="Times New Roman"/>
          <w:sz w:val="24"/>
          <w:szCs w:val="24"/>
        </w:rPr>
        <w:t xml:space="preserve">and NSBGMs </w:t>
      </w:r>
      <w:r w:rsidR="00CF6AA4">
        <w:rPr>
          <w:rFonts w:ascii="Times New Roman" w:hAnsi="Times New Roman" w:cs="Times New Roman"/>
          <w:sz w:val="24"/>
          <w:szCs w:val="24"/>
        </w:rPr>
        <w:t>were vita</w:t>
      </w:r>
      <w:r w:rsidR="00E62E9B">
        <w:rPr>
          <w:rFonts w:ascii="Times New Roman" w:hAnsi="Times New Roman" w:cs="Times New Roman"/>
          <w:sz w:val="24"/>
          <w:szCs w:val="24"/>
        </w:rPr>
        <w:t>l</w:t>
      </w:r>
      <w:r w:rsidR="00CF6AA4">
        <w:rPr>
          <w:rFonts w:ascii="Times New Roman" w:hAnsi="Times New Roman" w:cs="Times New Roman"/>
          <w:sz w:val="24"/>
          <w:szCs w:val="24"/>
        </w:rPr>
        <w:t xml:space="preserve"> to supplement them. </w:t>
      </w:r>
      <w:r w:rsidR="00CF6AA4" w:rsidRPr="00EF73A3">
        <w:rPr>
          <w:rFonts w:ascii="Times New Roman" w:hAnsi="Times New Roman" w:cs="Times New Roman"/>
          <w:sz w:val="24"/>
          <w:szCs w:val="24"/>
          <w:lang w:val="en-GB"/>
        </w:rPr>
        <w:t xml:space="preserve">More recently, the United Nations Working Group on Business and Human Rights has made </w:t>
      </w:r>
      <w:r w:rsidR="00CF6AA4">
        <w:rPr>
          <w:rFonts w:ascii="Times New Roman" w:hAnsi="Times New Roman" w:cs="Times New Roman"/>
          <w:sz w:val="24"/>
          <w:szCs w:val="24"/>
          <w:lang w:val="en-GB"/>
        </w:rPr>
        <w:t>clear that NSBGMs</w:t>
      </w:r>
      <w:r w:rsidR="00CF6AA4" w:rsidRPr="00EF73A3">
        <w:rPr>
          <w:rFonts w:ascii="Times New Roman" w:hAnsi="Times New Roman" w:cs="Times New Roman"/>
          <w:sz w:val="24"/>
          <w:szCs w:val="24"/>
          <w:lang w:val="en-GB"/>
        </w:rPr>
        <w:t xml:space="preserve"> are still considered an important component of the “bouquet of remedies” which should be available to rightsholders.</w:t>
      </w:r>
      <w:r w:rsidR="00CF6AA4" w:rsidRPr="00EF73A3">
        <w:rPr>
          <w:rStyle w:val="FootnoteReference"/>
          <w:rFonts w:ascii="Times New Roman" w:hAnsi="Times New Roman" w:cs="Times New Roman"/>
          <w:sz w:val="24"/>
          <w:szCs w:val="24"/>
          <w:lang w:val="en-GB"/>
        </w:rPr>
        <w:footnoteReference w:id="18"/>
      </w:r>
      <w:r w:rsidR="009D2B54">
        <w:rPr>
          <w:rFonts w:ascii="Times New Roman" w:hAnsi="Times New Roman" w:cs="Times New Roman"/>
          <w:sz w:val="24"/>
          <w:szCs w:val="24"/>
          <w:lang w:val="en-GB"/>
        </w:rPr>
        <w:t xml:space="preserve"> </w:t>
      </w:r>
    </w:p>
    <w:p w14:paraId="6ABA47B1" w14:textId="7128A82D" w:rsidR="00AC5B1A" w:rsidRPr="00E07B7E" w:rsidRDefault="00B44CDC"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lang w:val="en-GB"/>
        </w:rPr>
        <w:t xml:space="preserve">While </w:t>
      </w:r>
      <w:r w:rsidR="00453F6A">
        <w:rPr>
          <w:rFonts w:ascii="Times New Roman" w:hAnsi="Times New Roman" w:cs="Times New Roman"/>
          <w:sz w:val="24"/>
          <w:szCs w:val="24"/>
          <w:lang w:val="en-GB"/>
        </w:rPr>
        <w:t>key UN actors have therefore defended the role that NSBGMs can play in achieving access to remedy</w:t>
      </w:r>
      <w:r>
        <w:rPr>
          <w:rFonts w:ascii="Times New Roman" w:hAnsi="Times New Roman" w:cs="Times New Roman"/>
          <w:sz w:val="24"/>
          <w:szCs w:val="24"/>
          <w:lang w:val="en-GB"/>
        </w:rPr>
        <w:t>, t</w:t>
      </w:r>
      <w:r w:rsidR="00CF6AA4">
        <w:rPr>
          <w:rFonts w:ascii="Times New Roman" w:hAnsi="Times New Roman" w:cs="Times New Roman"/>
          <w:sz w:val="24"/>
          <w:szCs w:val="24"/>
          <w:lang w:val="en-GB"/>
        </w:rPr>
        <w:t>he</w:t>
      </w:r>
      <w:r w:rsidR="00453F6A">
        <w:rPr>
          <w:rFonts w:ascii="Times New Roman" w:hAnsi="Times New Roman" w:cs="Times New Roman"/>
          <w:sz w:val="24"/>
          <w:szCs w:val="24"/>
          <w:lang w:val="en-GB"/>
        </w:rPr>
        <w:t>ir precise role</w:t>
      </w:r>
      <w:r w:rsidR="00CF6AA4">
        <w:rPr>
          <w:rFonts w:ascii="Times New Roman" w:hAnsi="Times New Roman" w:cs="Times New Roman"/>
          <w:sz w:val="24"/>
          <w:szCs w:val="24"/>
          <w:lang w:val="en-GB"/>
        </w:rPr>
        <w:t xml:space="preserve"> within the overall architecture of the remedy eco-system is </w:t>
      </w:r>
      <w:r w:rsidR="00FE79EE">
        <w:rPr>
          <w:rFonts w:ascii="Times New Roman" w:hAnsi="Times New Roman" w:cs="Times New Roman"/>
          <w:sz w:val="24"/>
          <w:szCs w:val="24"/>
          <w:lang w:val="en-GB"/>
        </w:rPr>
        <w:t>more ambiguous</w:t>
      </w:r>
      <w:r w:rsidR="00CF6AA4">
        <w:rPr>
          <w:rFonts w:ascii="Times New Roman" w:hAnsi="Times New Roman" w:cs="Times New Roman"/>
          <w:sz w:val="24"/>
          <w:szCs w:val="24"/>
          <w:lang w:val="en-GB"/>
        </w:rPr>
        <w:t xml:space="preserve">. </w:t>
      </w:r>
      <w:r w:rsidR="00453F6A">
        <w:rPr>
          <w:rFonts w:ascii="Times New Roman" w:hAnsi="Times New Roman" w:cs="Times New Roman"/>
          <w:sz w:val="24"/>
          <w:szCs w:val="24"/>
          <w:lang w:val="en-GB"/>
        </w:rPr>
        <w:t>One interpretation</w:t>
      </w:r>
      <w:r w:rsidR="005E0D61">
        <w:rPr>
          <w:rFonts w:ascii="Times New Roman" w:hAnsi="Times New Roman" w:cs="Times New Roman"/>
          <w:sz w:val="24"/>
          <w:szCs w:val="24"/>
          <w:lang w:val="en-GB"/>
        </w:rPr>
        <w:t xml:space="preserve"> </w:t>
      </w:r>
      <w:r w:rsidR="00D97B90">
        <w:rPr>
          <w:rFonts w:ascii="Times New Roman" w:hAnsi="Times New Roman" w:cs="Times New Roman"/>
          <w:sz w:val="24"/>
          <w:szCs w:val="24"/>
          <w:lang w:val="en-GB"/>
        </w:rPr>
        <w:t xml:space="preserve">provided by Ruggie </w:t>
      </w:r>
      <w:r w:rsidR="00D97B90" w:rsidRPr="00364827">
        <w:rPr>
          <w:rFonts w:ascii="Times New Roman" w:hAnsi="Times New Roman"/>
          <w:sz w:val="24"/>
          <w:lang w:val="en-GB"/>
        </w:rPr>
        <w:t xml:space="preserve">is to </w:t>
      </w:r>
      <w:r w:rsidR="00D97B90" w:rsidRPr="00364827">
        <w:rPr>
          <w:rFonts w:ascii="Times New Roman" w:hAnsi="Times New Roman"/>
          <w:i/>
          <w:sz w:val="24"/>
          <w:lang w:val="en-GB"/>
        </w:rPr>
        <w:t>compliment</w:t>
      </w:r>
      <w:r w:rsidR="00D97B90" w:rsidRPr="00364827">
        <w:rPr>
          <w:rFonts w:ascii="Times New Roman" w:hAnsi="Times New Roman"/>
          <w:sz w:val="24"/>
          <w:lang w:val="en-GB"/>
        </w:rPr>
        <w:t xml:space="preserve"> state-based judicial and non-judicial mechanisms, providing a more immediate point of initial </w:t>
      </w:r>
      <w:r w:rsidR="005E0D61" w:rsidRPr="00364827">
        <w:rPr>
          <w:rFonts w:ascii="Times New Roman" w:hAnsi="Times New Roman"/>
          <w:sz w:val="24"/>
          <w:lang w:val="en-GB"/>
        </w:rPr>
        <w:t>recourse</w:t>
      </w:r>
      <w:r w:rsidR="005E0D61">
        <w:rPr>
          <w:rFonts w:ascii="Times New Roman" w:hAnsi="Times New Roman" w:cs="Times New Roman"/>
          <w:sz w:val="24"/>
          <w:szCs w:val="24"/>
          <w:lang w:val="en-GB"/>
        </w:rPr>
        <w:t>,</w:t>
      </w:r>
      <w:r w:rsidR="00D97B90" w:rsidRPr="00D97B90">
        <w:rPr>
          <w:rFonts w:ascii="Times New Roman" w:hAnsi="Times New Roman" w:cs="Times New Roman"/>
          <w:sz w:val="24"/>
          <w:szCs w:val="24"/>
          <w:lang w:val="en-GB"/>
        </w:rPr>
        <w:t xml:space="preserve"> </w:t>
      </w:r>
      <w:r w:rsidR="00D97B90" w:rsidRPr="00364827">
        <w:rPr>
          <w:rFonts w:ascii="Times New Roman" w:hAnsi="Times New Roman"/>
          <w:sz w:val="24"/>
          <w:lang w:val="en-GB"/>
        </w:rPr>
        <w:t>possible</w:t>
      </w:r>
      <w:r w:rsidR="00D97B90" w:rsidRPr="00D97B90">
        <w:rPr>
          <w:rFonts w:ascii="Times New Roman" w:hAnsi="Times New Roman" w:cs="Times New Roman"/>
          <w:sz w:val="24"/>
          <w:szCs w:val="24"/>
          <w:lang w:val="en-GB"/>
        </w:rPr>
        <w:t xml:space="preserve"> </w:t>
      </w:r>
      <w:r w:rsidR="00D97B90">
        <w:rPr>
          <w:rFonts w:ascii="Times New Roman" w:hAnsi="Times New Roman" w:cs="Times New Roman"/>
          <w:sz w:val="24"/>
          <w:szCs w:val="24"/>
          <w:lang w:val="en-GB"/>
        </w:rPr>
        <w:t xml:space="preserve">early </w:t>
      </w:r>
      <w:r w:rsidR="00D97B90" w:rsidRPr="00364827">
        <w:rPr>
          <w:rFonts w:ascii="Times New Roman" w:hAnsi="Times New Roman"/>
          <w:sz w:val="24"/>
          <w:lang w:val="en-GB"/>
        </w:rPr>
        <w:t>resolution of issues in at least some instances</w:t>
      </w:r>
      <w:r>
        <w:rPr>
          <w:rFonts w:ascii="Times New Roman" w:hAnsi="Times New Roman" w:cs="Times New Roman"/>
          <w:sz w:val="24"/>
          <w:szCs w:val="24"/>
          <w:lang w:val="en-GB"/>
        </w:rPr>
        <w:t>,</w:t>
      </w:r>
      <w:r w:rsidR="005E0D61">
        <w:rPr>
          <w:rFonts w:ascii="Times New Roman" w:hAnsi="Times New Roman" w:cs="Times New Roman"/>
          <w:sz w:val="24"/>
          <w:szCs w:val="24"/>
          <w:lang w:val="en-GB"/>
        </w:rPr>
        <w:t xml:space="preserve"> and an early warning system for management which allows </w:t>
      </w:r>
      <w:r w:rsidR="003C518C">
        <w:rPr>
          <w:rFonts w:ascii="Times New Roman" w:hAnsi="Times New Roman" w:cs="Times New Roman"/>
          <w:sz w:val="24"/>
          <w:szCs w:val="24"/>
          <w:lang w:val="en-GB"/>
        </w:rPr>
        <w:t>for pre-emptive action on</w:t>
      </w:r>
      <w:r w:rsidR="005E0D61">
        <w:rPr>
          <w:rFonts w:ascii="Times New Roman" w:hAnsi="Times New Roman" w:cs="Times New Roman"/>
          <w:sz w:val="24"/>
          <w:szCs w:val="24"/>
          <w:lang w:val="en-GB"/>
        </w:rPr>
        <w:t xml:space="preserve"> issues that might otherwise escalate</w:t>
      </w:r>
      <w:r w:rsidR="00D97B90" w:rsidRPr="00D97B90">
        <w:rPr>
          <w:rFonts w:ascii="Times New Roman" w:hAnsi="Times New Roman" w:cs="Times New Roman"/>
          <w:sz w:val="24"/>
          <w:szCs w:val="24"/>
          <w:lang w:val="en-GB"/>
        </w:rPr>
        <w:t>.</w:t>
      </w:r>
      <w:r w:rsidR="005E0D61">
        <w:rPr>
          <w:rStyle w:val="FootnoteReference"/>
          <w:rFonts w:ascii="Times New Roman" w:hAnsi="Times New Roman" w:cs="Times New Roman"/>
          <w:sz w:val="24"/>
          <w:szCs w:val="24"/>
          <w:lang w:val="en-GB"/>
        </w:rPr>
        <w:footnoteReference w:id="19"/>
      </w:r>
      <w:r w:rsidR="00D97B90" w:rsidRPr="00D97B90">
        <w:rPr>
          <w:rFonts w:ascii="Times New Roman" w:hAnsi="Times New Roman" w:cs="Times New Roman"/>
          <w:sz w:val="24"/>
          <w:szCs w:val="24"/>
          <w:lang w:val="en-GB"/>
        </w:rPr>
        <w:t xml:space="preserve"> </w:t>
      </w:r>
      <w:r w:rsidR="00C44122" w:rsidRPr="00E07B7E">
        <w:rPr>
          <w:rFonts w:ascii="Times New Roman" w:hAnsi="Times New Roman" w:cs="Times New Roman"/>
          <w:sz w:val="24"/>
          <w:szCs w:val="24"/>
          <w:lang w:val="en-GB"/>
        </w:rPr>
        <w:t>He also saw them</w:t>
      </w:r>
      <w:r w:rsidR="00426D54" w:rsidRPr="00E07B7E">
        <w:rPr>
          <w:rFonts w:ascii="Times New Roman" w:hAnsi="Times New Roman" w:cs="Times New Roman"/>
          <w:sz w:val="24"/>
          <w:szCs w:val="24"/>
          <w:lang w:val="en-GB"/>
        </w:rPr>
        <w:t xml:space="preserve"> as</w:t>
      </w:r>
      <w:r w:rsidR="005E0D61">
        <w:rPr>
          <w:rFonts w:ascii="Times New Roman" w:hAnsi="Times New Roman" w:cs="Times New Roman"/>
          <w:sz w:val="24"/>
          <w:szCs w:val="24"/>
          <w:lang w:val="en-GB"/>
        </w:rPr>
        <w:t xml:space="preserve"> potentially playing a </w:t>
      </w:r>
      <w:r w:rsidR="005E0D61" w:rsidRPr="00E07B7E">
        <w:rPr>
          <w:rFonts w:ascii="Times New Roman" w:hAnsi="Times New Roman" w:cs="Times New Roman"/>
          <w:i/>
          <w:sz w:val="24"/>
          <w:szCs w:val="24"/>
          <w:lang w:val="en-GB"/>
        </w:rPr>
        <w:t xml:space="preserve">replacement </w:t>
      </w:r>
      <w:r w:rsidR="005E0D61">
        <w:rPr>
          <w:rFonts w:ascii="Times New Roman" w:hAnsi="Times New Roman" w:cs="Times New Roman"/>
          <w:sz w:val="24"/>
          <w:szCs w:val="24"/>
          <w:lang w:val="en-GB"/>
        </w:rPr>
        <w:t>role. W</w:t>
      </w:r>
      <w:r w:rsidR="00913556" w:rsidRPr="00E07B7E">
        <w:rPr>
          <w:rFonts w:ascii="Times New Roman" w:hAnsi="Times New Roman" w:cs="Times New Roman"/>
          <w:sz w:val="24"/>
          <w:szCs w:val="24"/>
          <w:lang w:val="en-GB"/>
        </w:rPr>
        <w:t xml:space="preserve">here national courts </w:t>
      </w:r>
      <w:r w:rsidR="005E0D61">
        <w:rPr>
          <w:rFonts w:ascii="Times New Roman" w:hAnsi="Times New Roman" w:cs="Times New Roman"/>
          <w:sz w:val="24"/>
          <w:szCs w:val="24"/>
          <w:lang w:val="en-GB"/>
        </w:rPr>
        <w:t xml:space="preserve">and </w:t>
      </w:r>
      <w:r w:rsidR="005E0D61">
        <w:rPr>
          <w:rFonts w:ascii="Times New Roman" w:hAnsi="Times New Roman" w:cs="Times New Roman"/>
          <w:sz w:val="24"/>
          <w:szCs w:val="24"/>
        </w:rPr>
        <w:t>g</w:t>
      </w:r>
      <w:r w:rsidR="005E0D61" w:rsidRPr="005E0D61">
        <w:rPr>
          <w:rFonts w:ascii="Times New Roman" w:hAnsi="Times New Roman" w:cs="Times New Roman"/>
          <w:sz w:val="24"/>
          <w:szCs w:val="24"/>
        </w:rPr>
        <w:t>overnment-sp</w:t>
      </w:r>
      <w:r w:rsidR="003C518C">
        <w:rPr>
          <w:rFonts w:ascii="Times New Roman" w:hAnsi="Times New Roman" w:cs="Times New Roman"/>
          <w:sz w:val="24"/>
          <w:szCs w:val="24"/>
        </w:rPr>
        <w:t xml:space="preserve">onsored non-judicial mechanisms </w:t>
      </w:r>
      <w:r w:rsidR="00913556" w:rsidRPr="00E07B7E">
        <w:rPr>
          <w:rFonts w:ascii="Times New Roman" w:hAnsi="Times New Roman" w:cs="Times New Roman"/>
          <w:sz w:val="24"/>
          <w:szCs w:val="24"/>
          <w:lang w:val="en-GB"/>
        </w:rPr>
        <w:t xml:space="preserve">lack capacity to </w:t>
      </w:r>
      <w:r w:rsidR="00DD4532" w:rsidRPr="00E07B7E">
        <w:rPr>
          <w:rFonts w:ascii="Times New Roman" w:hAnsi="Times New Roman" w:cs="Times New Roman"/>
          <w:sz w:val="24"/>
          <w:szCs w:val="24"/>
          <w:lang w:val="en-GB"/>
        </w:rPr>
        <w:t xml:space="preserve">themselves </w:t>
      </w:r>
      <w:r w:rsidR="00913556" w:rsidRPr="00E07B7E">
        <w:rPr>
          <w:rFonts w:ascii="Times New Roman" w:hAnsi="Times New Roman" w:cs="Times New Roman"/>
          <w:sz w:val="24"/>
          <w:szCs w:val="24"/>
          <w:lang w:val="en-GB"/>
        </w:rPr>
        <w:t>provide an effective remedy</w:t>
      </w:r>
      <w:r w:rsidR="005E0D61">
        <w:rPr>
          <w:rFonts w:ascii="Times New Roman" w:hAnsi="Times New Roman" w:cs="Times New Roman"/>
          <w:sz w:val="24"/>
          <w:szCs w:val="24"/>
          <w:lang w:val="en-GB"/>
        </w:rPr>
        <w:t>, NSGBMs might play a m</w:t>
      </w:r>
      <w:r>
        <w:rPr>
          <w:rFonts w:ascii="Times New Roman" w:hAnsi="Times New Roman" w:cs="Times New Roman"/>
          <w:sz w:val="24"/>
          <w:szCs w:val="24"/>
          <w:lang w:val="en-GB"/>
        </w:rPr>
        <w:t>ore central role in providing redress</w:t>
      </w:r>
      <w:r w:rsidR="005E0D61">
        <w:rPr>
          <w:rFonts w:ascii="Times New Roman" w:hAnsi="Times New Roman" w:cs="Times New Roman"/>
          <w:sz w:val="24"/>
          <w:szCs w:val="24"/>
          <w:lang w:val="en-GB"/>
        </w:rPr>
        <w:t>.</w:t>
      </w:r>
      <w:r w:rsidR="00E62E9B">
        <w:rPr>
          <w:rStyle w:val="FootnoteReference"/>
          <w:rFonts w:ascii="Times New Roman" w:hAnsi="Times New Roman" w:cs="Times New Roman"/>
          <w:sz w:val="24"/>
          <w:szCs w:val="24"/>
          <w:lang w:val="en-GB"/>
        </w:rPr>
        <w:footnoteReference w:id="20"/>
      </w:r>
      <w:r w:rsidR="00913556" w:rsidRPr="00E07B7E">
        <w:rPr>
          <w:rFonts w:ascii="Times New Roman" w:hAnsi="Times New Roman" w:cs="Times New Roman"/>
          <w:sz w:val="24"/>
          <w:szCs w:val="24"/>
          <w:lang w:val="en-GB"/>
        </w:rPr>
        <w:t xml:space="preserve"> </w:t>
      </w:r>
      <w:r w:rsidR="003C518C">
        <w:rPr>
          <w:rFonts w:ascii="Times New Roman" w:hAnsi="Times New Roman" w:cs="Times New Roman"/>
          <w:sz w:val="24"/>
          <w:szCs w:val="24"/>
        </w:rPr>
        <w:t>When making judgments about the effectiveness of NSGBMs, it is therefore important to consider</w:t>
      </w:r>
      <w:r w:rsidR="00051C1D">
        <w:rPr>
          <w:rFonts w:ascii="Times New Roman" w:hAnsi="Times New Roman" w:cs="Times New Roman"/>
          <w:sz w:val="24"/>
          <w:szCs w:val="24"/>
        </w:rPr>
        <w:t xml:space="preserve"> </w:t>
      </w:r>
      <w:r w:rsidR="00051C1D" w:rsidRPr="00E07B7E">
        <w:rPr>
          <w:rFonts w:ascii="Times New Roman" w:hAnsi="Times New Roman" w:cs="Times New Roman"/>
          <w:i/>
          <w:sz w:val="24"/>
          <w:szCs w:val="24"/>
        </w:rPr>
        <w:t>what</w:t>
      </w:r>
      <w:r w:rsidR="00051C1D">
        <w:rPr>
          <w:rFonts w:ascii="Times New Roman" w:hAnsi="Times New Roman" w:cs="Times New Roman"/>
          <w:sz w:val="24"/>
          <w:szCs w:val="24"/>
        </w:rPr>
        <w:t xml:space="preserve"> </w:t>
      </w:r>
      <w:r w:rsidR="001C6A5E">
        <w:rPr>
          <w:rFonts w:ascii="Times New Roman" w:hAnsi="Times New Roman" w:cs="Times New Roman"/>
          <w:sz w:val="24"/>
          <w:szCs w:val="24"/>
        </w:rPr>
        <w:t>they are effective at doing</w:t>
      </w:r>
      <w:r w:rsidR="00BC4008">
        <w:rPr>
          <w:rFonts w:ascii="Times New Roman" w:hAnsi="Times New Roman" w:cs="Times New Roman"/>
          <w:sz w:val="24"/>
          <w:szCs w:val="24"/>
        </w:rPr>
        <w:t>:</w:t>
      </w:r>
      <w:r w:rsidR="003C518C">
        <w:rPr>
          <w:rFonts w:ascii="Times New Roman" w:hAnsi="Times New Roman" w:cs="Times New Roman"/>
          <w:sz w:val="24"/>
          <w:szCs w:val="24"/>
        </w:rPr>
        <w:t xml:space="preserve"> </w:t>
      </w:r>
      <w:r>
        <w:rPr>
          <w:rFonts w:ascii="Times New Roman" w:hAnsi="Times New Roman" w:cs="Times New Roman"/>
          <w:sz w:val="24"/>
          <w:szCs w:val="24"/>
        </w:rPr>
        <w:t xml:space="preserve">Can they act as effective compliment </w:t>
      </w:r>
      <w:r w:rsidR="00051C1D">
        <w:rPr>
          <w:rFonts w:ascii="Times New Roman" w:hAnsi="Times New Roman" w:cs="Times New Roman"/>
          <w:sz w:val="24"/>
          <w:szCs w:val="24"/>
        </w:rPr>
        <w:t xml:space="preserve">to, </w:t>
      </w:r>
      <w:r>
        <w:rPr>
          <w:rFonts w:ascii="Times New Roman" w:hAnsi="Times New Roman" w:cs="Times New Roman"/>
          <w:sz w:val="24"/>
          <w:szCs w:val="24"/>
        </w:rPr>
        <w:t>or replacement</w:t>
      </w:r>
      <w:r w:rsidR="001C6A5E">
        <w:rPr>
          <w:rFonts w:ascii="Times New Roman" w:hAnsi="Times New Roman" w:cs="Times New Roman"/>
          <w:sz w:val="24"/>
          <w:szCs w:val="24"/>
        </w:rPr>
        <w:t xml:space="preserve"> for,</w:t>
      </w:r>
      <w:r w:rsidR="00051C1D">
        <w:rPr>
          <w:rFonts w:ascii="Times New Roman" w:hAnsi="Times New Roman" w:cs="Times New Roman"/>
          <w:sz w:val="24"/>
          <w:szCs w:val="24"/>
        </w:rPr>
        <w:t xml:space="preserve"> other forms of remedy</w:t>
      </w:r>
      <w:r>
        <w:rPr>
          <w:rFonts w:ascii="Times New Roman" w:hAnsi="Times New Roman" w:cs="Times New Roman"/>
          <w:sz w:val="24"/>
          <w:szCs w:val="24"/>
        </w:rPr>
        <w:t>?</w:t>
      </w:r>
      <w:r w:rsidR="00013516">
        <w:rPr>
          <w:rFonts w:ascii="Times New Roman" w:hAnsi="Times New Roman" w:cs="Times New Roman"/>
          <w:sz w:val="24"/>
          <w:szCs w:val="24"/>
        </w:rPr>
        <w:t xml:space="preserve"> </w:t>
      </w:r>
      <w:r w:rsidR="003C518C">
        <w:rPr>
          <w:rFonts w:ascii="Times New Roman" w:hAnsi="Times New Roman" w:cs="Times New Roman"/>
          <w:sz w:val="24"/>
          <w:szCs w:val="24"/>
        </w:rPr>
        <w:t xml:space="preserve">  </w:t>
      </w:r>
      <w:r w:rsidR="003C518C" w:rsidRPr="001C6A5E">
        <w:rPr>
          <w:rFonts w:ascii="Times New Roman" w:hAnsi="Times New Roman" w:cs="Times New Roman"/>
          <w:sz w:val="24"/>
          <w:szCs w:val="24"/>
        </w:rPr>
        <w:t xml:space="preserve"> </w:t>
      </w:r>
      <w:r w:rsidR="008E50F6" w:rsidRPr="00E07B7E">
        <w:rPr>
          <w:rFonts w:ascii="Times New Roman" w:hAnsi="Times New Roman" w:cs="Times New Roman"/>
          <w:sz w:val="24"/>
          <w:szCs w:val="24"/>
        </w:rPr>
        <w:t xml:space="preserve"> </w:t>
      </w:r>
    </w:p>
    <w:p w14:paraId="369AE0DE" w14:textId="75268B51" w:rsidR="00CE688D" w:rsidRDefault="00405AC1" w:rsidP="001659DC">
      <w:pPr>
        <w:spacing w:line="360" w:lineRule="auto"/>
        <w:ind w:firstLine="360"/>
        <w:rPr>
          <w:rFonts w:ascii="Times New Roman" w:hAnsi="Times New Roman" w:cs="Times New Roman"/>
          <w:sz w:val="24"/>
          <w:szCs w:val="24"/>
          <w:lang w:val="en-GB"/>
        </w:rPr>
      </w:pPr>
      <w:r>
        <w:rPr>
          <w:rFonts w:ascii="Times New Roman" w:hAnsi="Times New Roman" w:cs="Times New Roman"/>
          <w:sz w:val="24"/>
          <w:szCs w:val="24"/>
          <w:lang w:val="en-GB"/>
        </w:rPr>
        <w:t xml:space="preserve">Moving on to consider different </w:t>
      </w:r>
      <w:r w:rsidR="00366E9B">
        <w:rPr>
          <w:rFonts w:ascii="Times New Roman" w:hAnsi="Times New Roman" w:cs="Times New Roman"/>
          <w:sz w:val="24"/>
          <w:szCs w:val="24"/>
          <w:lang w:val="en-GB"/>
        </w:rPr>
        <w:t>approaches to</w:t>
      </w:r>
      <w:r>
        <w:rPr>
          <w:rFonts w:ascii="Times New Roman" w:hAnsi="Times New Roman" w:cs="Times New Roman"/>
          <w:sz w:val="24"/>
          <w:szCs w:val="24"/>
          <w:lang w:val="en-GB"/>
        </w:rPr>
        <w:t xml:space="preserve"> evaluating </w:t>
      </w:r>
      <w:r w:rsidR="00C568BB">
        <w:rPr>
          <w:rFonts w:ascii="Times New Roman" w:hAnsi="Times New Roman" w:cs="Times New Roman"/>
          <w:sz w:val="24"/>
          <w:szCs w:val="24"/>
          <w:lang w:val="en-GB"/>
        </w:rPr>
        <w:t xml:space="preserve">the </w:t>
      </w:r>
      <w:r>
        <w:rPr>
          <w:rFonts w:ascii="Times New Roman" w:hAnsi="Times New Roman" w:cs="Times New Roman"/>
          <w:sz w:val="24"/>
          <w:szCs w:val="24"/>
          <w:lang w:val="en-GB"/>
        </w:rPr>
        <w:t>effectiveness</w:t>
      </w:r>
      <w:r w:rsidR="00C568BB">
        <w:rPr>
          <w:rFonts w:ascii="Times New Roman" w:hAnsi="Times New Roman" w:cs="Times New Roman"/>
          <w:sz w:val="24"/>
          <w:szCs w:val="24"/>
          <w:lang w:val="en-GB"/>
        </w:rPr>
        <w:t xml:space="preserve"> of NSBGMs</w:t>
      </w:r>
      <w:r>
        <w:rPr>
          <w:rFonts w:ascii="Times New Roman" w:hAnsi="Times New Roman" w:cs="Times New Roman"/>
          <w:sz w:val="24"/>
          <w:szCs w:val="24"/>
          <w:lang w:val="en-GB"/>
        </w:rPr>
        <w:t xml:space="preserve">, </w:t>
      </w:r>
      <w:r w:rsidR="006C3A40">
        <w:rPr>
          <w:rFonts w:ascii="Times New Roman" w:hAnsi="Times New Roman" w:cs="Times New Roman"/>
          <w:sz w:val="24"/>
          <w:szCs w:val="24"/>
          <w:lang w:val="en-GB"/>
        </w:rPr>
        <w:t>the</w:t>
      </w:r>
      <w:r w:rsidR="006C3A40" w:rsidRPr="006A3B66">
        <w:rPr>
          <w:rFonts w:ascii="Times New Roman" w:hAnsi="Times New Roman"/>
          <w:sz w:val="24"/>
          <w:lang w:val="en-GB"/>
        </w:rPr>
        <w:t xml:space="preserve"> UNGPs </w:t>
      </w:r>
      <w:r w:rsidR="006C3A40">
        <w:rPr>
          <w:rFonts w:ascii="Times New Roman" w:hAnsi="Times New Roman" w:cs="Times New Roman"/>
          <w:sz w:val="24"/>
          <w:szCs w:val="24"/>
          <w:lang w:val="en-GB"/>
        </w:rPr>
        <w:t>recognise that there are both procedural and substantive aspects t</w:t>
      </w:r>
      <w:r w:rsidR="00E62350">
        <w:rPr>
          <w:rFonts w:ascii="Times New Roman" w:hAnsi="Times New Roman" w:cs="Times New Roman"/>
          <w:sz w:val="24"/>
          <w:szCs w:val="24"/>
          <w:lang w:val="en-GB"/>
        </w:rPr>
        <w:t>o access to remedy, and the UN W</w:t>
      </w:r>
      <w:r w:rsidR="006C3A40">
        <w:rPr>
          <w:rFonts w:ascii="Times New Roman" w:hAnsi="Times New Roman" w:cs="Times New Roman"/>
          <w:sz w:val="24"/>
          <w:szCs w:val="24"/>
          <w:lang w:val="en-GB"/>
        </w:rPr>
        <w:t xml:space="preserve">orking Group on Business and Human Rights </w:t>
      </w:r>
      <w:r w:rsidR="00E62350">
        <w:rPr>
          <w:rFonts w:ascii="Times New Roman" w:hAnsi="Times New Roman" w:cs="Times New Roman"/>
          <w:sz w:val="24"/>
          <w:szCs w:val="24"/>
          <w:lang w:val="en-GB"/>
        </w:rPr>
        <w:t xml:space="preserve">(subsequently ‘the UN Working Group’) </w:t>
      </w:r>
      <w:r w:rsidR="006C3A40">
        <w:rPr>
          <w:rFonts w:ascii="Times New Roman" w:hAnsi="Times New Roman" w:cs="Times New Roman"/>
          <w:sz w:val="24"/>
          <w:szCs w:val="24"/>
          <w:lang w:val="en-GB"/>
        </w:rPr>
        <w:t>has reaffirmed that r</w:t>
      </w:r>
      <w:r w:rsidR="006C3A40" w:rsidRPr="006C3A40">
        <w:rPr>
          <w:rFonts w:ascii="Times New Roman" w:hAnsi="Times New Roman" w:cs="Times New Roman"/>
          <w:sz w:val="24"/>
          <w:szCs w:val="24"/>
          <w:lang w:val="en-GB"/>
        </w:rPr>
        <w:t>emediation should be effective</w:t>
      </w:r>
      <w:r w:rsidR="006C3A40" w:rsidRPr="006A3B66">
        <w:rPr>
          <w:rFonts w:ascii="Times New Roman" w:hAnsi="Times New Roman"/>
          <w:sz w:val="24"/>
          <w:lang w:val="en-GB"/>
        </w:rPr>
        <w:t xml:space="preserve"> in </w:t>
      </w:r>
      <w:r w:rsidR="006C3A40" w:rsidRPr="006C3A40">
        <w:rPr>
          <w:rFonts w:ascii="Times New Roman" w:hAnsi="Times New Roman" w:cs="Times New Roman"/>
          <w:sz w:val="24"/>
          <w:szCs w:val="24"/>
          <w:lang w:val="en-GB"/>
        </w:rPr>
        <w:t>terms of both process and outcome</w:t>
      </w:r>
      <w:r w:rsidR="006C3A40">
        <w:rPr>
          <w:rFonts w:ascii="Times New Roman" w:hAnsi="Times New Roman" w:cs="Times New Roman"/>
          <w:sz w:val="24"/>
          <w:szCs w:val="24"/>
          <w:lang w:val="en-GB"/>
        </w:rPr>
        <w:t>.</w:t>
      </w:r>
      <w:r w:rsidR="006C3A40">
        <w:rPr>
          <w:rStyle w:val="FootnoteReference"/>
          <w:rFonts w:ascii="Times New Roman" w:hAnsi="Times New Roman" w:cs="Times New Roman"/>
          <w:sz w:val="24"/>
          <w:szCs w:val="24"/>
          <w:lang w:val="en-GB"/>
        </w:rPr>
        <w:footnoteReference w:id="21"/>
      </w:r>
      <w:r w:rsidR="006C3A40" w:rsidRPr="006C3A40">
        <w:rPr>
          <w:rFonts w:ascii="Times New Roman" w:hAnsi="Times New Roman" w:cs="Times New Roman"/>
          <w:sz w:val="24"/>
          <w:szCs w:val="24"/>
          <w:lang w:val="en-GB"/>
        </w:rPr>
        <w:t xml:space="preserve"> </w:t>
      </w:r>
      <w:r w:rsidR="006C3A40">
        <w:rPr>
          <w:rFonts w:ascii="Times New Roman" w:hAnsi="Times New Roman" w:cs="Times New Roman"/>
          <w:sz w:val="24"/>
          <w:szCs w:val="24"/>
          <w:lang w:val="en-GB"/>
        </w:rPr>
        <w:t xml:space="preserve"> </w:t>
      </w:r>
      <w:r w:rsidR="00A3654C">
        <w:rPr>
          <w:rFonts w:ascii="Times New Roman" w:hAnsi="Times New Roman" w:cs="Times New Roman"/>
          <w:sz w:val="24"/>
          <w:szCs w:val="24"/>
          <w:lang w:val="en-GB"/>
        </w:rPr>
        <w:t>But there</w:t>
      </w:r>
      <w:r w:rsidR="006C3A40">
        <w:rPr>
          <w:rFonts w:ascii="Times New Roman" w:hAnsi="Times New Roman" w:cs="Times New Roman"/>
          <w:sz w:val="24"/>
          <w:szCs w:val="24"/>
          <w:lang w:val="en-GB"/>
        </w:rPr>
        <w:t xml:space="preserve"> has been much more focus on </w:t>
      </w:r>
      <w:r w:rsidR="00A3654C">
        <w:rPr>
          <w:rFonts w:ascii="Times New Roman" w:hAnsi="Times New Roman" w:cs="Times New Roman"/>
          <w:sz w:val="24"/>
          <w:szCs w:val="24"/>
          <w:lang w:val="en-GB"/>
        </w:rPr>
        <w:t xml:space="preserve">unpacking what </w:t>
      </w:r>
      <w:r w:rsidR="00ED4389">
        <w:rPr>
          <w:rFonts w:ascii="Times New Roman" w:hAnsi="Times New Roman" w:cs="Times New Roman"/>
          <w:sz w:val="24"/>
          <w:szCs w:val="24"/>
          <w:lang w:val="en-GB"/>
        </w:rPr>
        <w:t>the procedural aspects</w:t>
      </w:r>
      <w:r w:rsidR="00A3654C">
        <w:rPr>
          <w:rFonts w:ascii="Times New Roman" w:hAnsi="Times New Roman" w:cs="Times New Roman"/>
          <w:sz w:val="24"/>
          <w:szCs w:val="24"/>
          <w:lang w:val="en-GB"/>
        </w:rPr>
        <w:t xml:space="preserve"> of effective remedy </w:t>
      </w:r>
      <w:r w:rsidR="00A3654C">
        <w:rPr>
          <w:rFonts w:ascii="Times New Roman" w:hAnsi="Times New Roman" w:cs="Times New Roman"/>
          <w:sz w:val="24"/>
          <w:szCs w:val="24"/>
          <w:lang w:val="en-GB"/>
        </w:rPr>
        <w:lastRenderedPageBreak/>
        <w:t>entail</w:t>
      </w:r>
      <w:r w:rsidR="006C3A40">
        <w:rPr>
          <w:rFonts w:ascii="Times New Roman" w:hAnsi="Times New Roman" w:cs="Times New Roman"/>
          <w:sz w:val="24"/>
          <w:szCs w:val="24"/>
          <w:lang w:val="en-GB"/>
        </w:rPr>
        <w:t>.</w:t>
      </w:r>
      <w:r w:rsidR="00474E89">
        <w:rPr>
          <w:rStyle w:val="FootnoteReference"/>
          <w:rFonts w:ascii="Times New Roman" w:hAnsi="Times New Roman" w:cs="Times New Roman"/>
          <w:sz w:val="24"/>
          <w:szCs w:val="24"/>
          <w:lang w:val="en-GB"/>
        </w:rPr>
        <w:footnoteReference w:id="22"/>
      </w:r>
      <w:r w:rsidR="006C3A40">
        <w:rPr>
          <w:rFonts w:ascii="Times New Roman" w:hAnsi="Times New Roman" w:cs="Times New Roman"/>
          <w:sz w:val="24"/>
          <w:szCs w:val="24"/>
          <w:lang w:val="en-GB"/>
        </w:rPr>
        <w:t xml:space="preserve"> </w:t>
      </w:r>
      <w:r w:rsidR="008C296D">
        <w:rPr>
          <w:rFonts w:ascii="Times New Roman" w:hAnsi="Times New Roman" w:cs="Times New Roman"/>
          <w:sz w:val="24"/>
          <w:szCs w:val="24"/>
          <w:lang w:val="en-GB"/>
        </w:rPr>
        <w:t>This commenced with</w:t>
      </w:r>
      <w:r w:rsidR="006C3A40" w:rsidRPr="006A3B66">
        <w:rPr>
          <w:rFonts w:ascii="Times New Roman" w:hAnsi="Times New Roman"/>
          <w:sz w:val="24"/>
          <w:lang w:val="en-GB"/>
        </w:rPr>
        <w:t xml:space="preserve"> </w:t>
      </w:r>
      <w:r w:rsidR="00C44122" w:rsidRPr="00E07B7E">
        <w:rPr>
          <w:rFonts w:ascii="Times New Roman" w:hAnsi="Times New Roman" w:cs="Times New Roman"/>
          <w:sz w:val="24"/>
          <w:szCs w:val="24"/>
        </w:rPr>
        <w:t xml:space="preserve">Principle 31 </w:t>
      </w:r>
      <w:r w:rsidR="00AB7F0A">
        <w:rPr>
          <w:rFonts w:ascii="Times New Roman" w:hAnsi="Times New Roman" w:cs="Times New Roman"/>
          <w:sz w:val="24"/>
          <w:szCs w:val="24"/>
        </w:rPr>
        <w:t>of the UNGPs</w:t>
      </w:r>
      <w:r w:rsidR="00C44122" w:rsidRPr="00E07B7E">
        <w:rPr>
          <w:rFonts w:ascii="Times New Roman" w:hAnsi="Times New Roman" w:cs="Times New Roman"/>
          <w:sz w:val="24"/>
          <w:szCs w:val="24"/>
        </w:rPr>
        <w:t xml:space="preserve"> </w:t>
      </w:r>
      <w:r w:rsidR="008C296D">
        <w:rPr>
          <w:rFonts w:ascii="Times New Roman" w:hAnsi="Times New Roman" w:cs="Times New Roman"/>
          <w:sz w:val="24"/>
          <w:szCs w:val="24"/>
        </w:rPr>
        <w:t xml:space="preserve">which </w:t>
      </w:r>
      <w:r w:rsidR="00C44122" w:rsidRPr="00E07B7E">
        <w:rPr>
          <w:rFonts w:ascii="Times New Roman" w:hAnsi="Times New Roman" w:cs="Times New Roman"/>
          <w:sz w:val="24"/>
          <w:szCs w:val="24"/>
        </w:rPr>
        <w:t>sought to “provide a benchmark for designing, revising or assessing a non-judicial grievance mechanism to help ensure that it is effective in practice.”</w:t>
      </w:r>
      <w:r w:rsidR="00C44122" w:rsidRPr="00E07B7E">
        <w:rPr>
          <w:rStyle w:val="FootnoteReference"/>
          <w:rFonts w:ascii="Times New Roman" w:hAnsi="Times New Roman" w:cs="Times New Roman"/>
          <w:sz w:val="24"/>
          <w:szCs w:val="24"/>
        </w:rPr>
        <w:footnoteReference w:id="23"/>
      </w:r>
      <w:r w:rsidR="00CA2D6F" w:rsidRPr="00E07B7E">
        <w:rPr>
          <w:rFonts w:ascii="Times New Roman" w:hAnsi="Times New Roman" w:cs="Times New Roman"/>
          <w:sz w:val="24"/>
          <w:szCs w:val="24"/>
        </w:rPr>
        <w:t xml:space="preserve"> According to these criteria, non-judicial grievance mechanisms should be </w:t>
      </w:r>
      <w:r w:rsidR="00CA2D6F" w:rsidRPr="00E07B7E">
        <w:rPr>
          <w:rFonts w:ascii="Times New Roman" w:hAnsi="Times New Roman" w:cs="Times New Roman"/>
          <w:sz w:val="24"/>
          <w:szCs w:val="24"/>
          <w:lang w:val="en-GB"/>
        </w:rPr>
        <w:t>legitimate, accessible, predictable, equitable, transparent, rights-compatible and a source of continuous learning. Th</w:t>
      </w:r>
      <w:r w:rsidR="00DD4532" w:rsidRPr="00E07B7E">
        <w:rPr>
          <w:rFonts w:ascii="Times New Roman" w:hAnsi="Times New Roman" w:cs="Times New Roman"/>
          <w:sz w:val="24"/>
          <w:szCs w:val="24"/>
          <w:lang w:val="en-GB"/>
        </w:rPr>
        <w:t>e</w:t>
      </w:r>
      <w:r w:rsidR="00AB7F0A">
        <w:rPr>
          <w:rFonts w:ascii="Times New Roman" w:hAnsi="Times New Roman" w:cs="Times New Roman"/>
          <w:sz w:val="24"/>
          <w:szCs w:val="24"/>
          <w:lang w:val="en-GB"/>
        </w:rPr>
        <w:t>se</w:t>
      </w:r>
      <w:r w:rsidR="00AF36D3" w:rsidRPr="00E07B7E">
        <w:rPr>
          <w:rFonts w:ascii="Times New Roman" w:hAnsi="Times New Roman" w:cs="Times New Roman"/>
          <w:sz w:val="24"/>
          <w:szCs w:val="24"/>
          <w:lang w:val="en-GB"/>
        </w:rPr>
        <w:t xml:space="preserve"> effectiveness</w:t>
      </w:r>
      <w:r w:rsidR="00DD4532" w:rsidRPr="00E07B7E">
        <w:rPr>
          <w:rFonts w:ascii="Times New Roman" w:hAnsi="Times New Roman" w:cs="Times New Roman"/>
          <w:sz w:val="24"/>
          <w:szCs w:val="24"/>
          <w:lang w:val="en-GB"/>
        </w:rPr>
        <w:t xml:space="preserve"> criteria </w:t>
      </w:r>
      <w:r w:rsidR="00251403" w:rsidRPr="00E07B7E">
        <w:rPr>
          <w:rFonts w:ascii="Times New Roman" w:hAnsi="Times New Roman" w:cs="Times New Roman"/>
          <w:sz w:val="24"/>
          <w:szCs w:val="24"/>
          <w:lang w:val="en-GB"/>
        </w:rPr>
        <w:t>focus on the procedural aspects of grievance mechanisms</w:t>
      </w:r>
      <w:r w:rsidR="00D55C44" w:rsidRPr="00E07B7E">
        <w:rPr>
          <w:rFonts w:ascii="Times New Roman" w:hAnsi="Times New Roman" w:cs="Times New Roman"/>
          <w:sz w:val="24"/>
          <w:szCs w:val="24"/>
          <w:lang w:val="en-GB"/>
        </w:rPr>
        <w:t>, or the “characteristics</w:t>
      </w:r>
      <w:r w:rsidR="00E22F54" w:rsidRPr="00E07B7E">
        <w:rPr>
          <w:rFonts w:ascii="Times New Roman" w:hAnsi="Times New Roman" w:cs="Times New Roman"/>
          <w:sz w:val="24"/>
          <w:szCs w:val="24"/>
          <w:lang w:val="en-GB"/>
        </w:rPr>
        <w:t>”</w:t>
      </w:r>
      <w:r w:rsidR="00D55C44" w:rsidRPr="00E07B7E">
        <w:rPr>
          <w:rFonts w:ascii="Times New Roman" w:hAnsi="Times New Roman" w:cs="Times New Roman"/>
          <w:sz w:val="24"/>
          <w:szCs w:val="24"/>
          <w:lang w:val="en-GB"/>
        </w:rPr>
        <w:t xml:space="preserve"> that any grievance mechanism should have if it is to be successful</w:t>
      </w:r>
      <w:r w:rsidR="00AF36D3" w:rsidRPr="00E07B7E">
        <w:rPr>
          <w:rFonts w:ascii="Times New Roman" w:hAnsi="Times New Roman" w:cs="Times New Roman"/>
          <w:sz w:val="24"/>
          <w:szCs w:val="24"/>
          <w:lang w:val="en-GB"/>
        </w:rPr>
        <w:t>.</w:t>
      </w:r>
      <w:r w:rsidR="00D55C44" w:rsidRPr="00E07B7E">
        <w:rPr>
          <w:rStyle w:val="FootnoteReference"/>
          <w:rFonts w:ascii="Times New Roman" w:hAnsi="Times New Roman" w:cs="Times New Roman"/>
          <w:sz w:val="24"/>
          <w:szCs w:val="24"/>
          <w:lang w:val="en-GB"/>
        </w:rPr>
        <w:footnoteReference w:id="24"/>
      </w:r>
      <w:r w:rsidR="00251403" w:rsidRPr="00E07B7E">
        <w:rPr>
          <w:rFonts w:ascii="Times New Roman" w:hAnsi="Times New Roman" w:cs="Times New Roman"/>
          <w:sz w:val="24"/>
          <w:szCs w:val="24"/>
          <w:lang w:val="en-GB"/>
        </w:rPr>
        <w:t xml:space="preserve"> They aspire to create requirements for how grievance me</w:t>
      </w:r>
      <w:r w:rsidR="00AF5AF3" w:rsidRPr="00E07B7E">
        <w:rPr>
          <w:rFonts w:ascii="Times New Roman" w:hAnsi="Times New Roman" w:cs="Times New Roman"/>
          <w:sz w:val="24"/>
          <w:szCs w:val="24"/>
          <w:lang w:val="en-GB"/>
        </w:rPr>
        <w:t>chanisms should operate so that</w:t>
      </w:r>
      <w:r w:rsidR="00825D95" w:rsidRPr="00E07B7E">
        <w:rPr>
          <w:rFonts w:ascii="Times New Roman" w:hAnsi="Times New Roman" w:cs="Times New Roman"/>
          <w:sz w:val="24"/>
          <w:szCs w:val="24"/>
          <w:lang w:val="en-GB"/>
        </w:rPr>
        <w:t xml:space="preserve"> </w:t>
      </w:r>
      <w:r w:rsidR="00AF5AF3" w:rsidRPr="00E07B7E">
        <w:rPr>
          <w:rFonts w:ascii="Times New Roman" w:hAnsi="Times New Roman" w:cs="Times New Roman"/>
          <w:sz w:val="24"/>
          <w:szCs w:val="24"/>
          <w:lang w:val="en-GB"/>
        </w:rPr>
        <w:t xml:space="preserve">there are not insurmountable barriers to </w:t>
      </w:r>
      <w:r w:rsidR="00825D95" w:rsidRPr="00E07B7E">
        <w:rPr>
          <w:rFonts w:ascii="Times New Roman" w:hAnsi="Times New Roman" w:cs="Times New Roman"/>
          <w:sz w:val="24"/>
          <w:szCs w:val="24"/>
          <w:lang w:val="en-GB"/>
        </w:rPr>
        <w:t>rightsholders who</w:t>
      </w:r>
      <w:r w:rsidR="00AB7F0A">
        <w:rPr>
          <w:rFonts w:ascii="Times New Roman" w:hAnsi="Times New Roman" w:cs="Times New Roman"/>
          <w:sz w:val="24"/>
          <w:szCs w:val="24"/>
          <w:lang w:val="en-GB"/>
        </w:rPr>
        <w:t xml:space="preserve"> wish to make</w:t>
      </w:r>
      <w:r w:rsidR="00825D95" w:rsidRPr="00E07B7E">
        <w:rPr>
          <w:rFonts w:ascii="Times New Roman" w:hAnsi="Times New Roman" w:cs="Times New Roman"/>
          <w:sz w:val="24"/>
          <w:szCs w:val="24"/>
          <w:lang w:val="en-GB"/>
        </w:rPr>
        <w:t xml:space="preserve"> complaints</w:t>
      </w:r>
      <w:r w:rsidR="00251403" w:rsidRPr="00E07B7E">
        <w:rPr>
          <w:rFonts w:ascii="Times New Roman" w:hAnsi="Times New Roman" w:cs="Times New Roman"/>
          <w:sz w:val="24"/>
          <w:szCs w:val="24"/>
          <w:lang w:val="en-GB"/>
        </w:rPr>
        <w:t xml:space="preserve"> (e.g. as a result of excessive costs, lack of information as to </w:t>
      </w:r>
      <w:r w:rsidR="00825D95" w:rsidRPr="00E07B7E">
        <w:rPr>
          <w:rFonts w:ascii="Times New Roman" w:hAnsi="Times New Roman" w:cs="Times New Roman"/>
          <w:sz w:val="24"/>
          <w:szCs w:val="24"/>
          <w:lang w:val="en-GB"/>
        </w:rPr>
        <w:t xml:space="preserve">how they operate, etc.) and </w:t>
      </w:r>
      <w:r w:rsidR="00AF5AF3" w:rsidRPr="00E07B7E">
        <w:rPr>
          <w:rFonts w:ascii="Times New Roman" w:hAnsi="Times New Roman" w:cs="Times New Roman"/>
          <w:sz w:val="24"/>
          <w:szCs w:val="24"/>
          <w:lang w:val="en-GB"/>
        </w:rPr>
        <w:t xml:space="preserve">they </w:t>
      </w:r>
      <w:r w:rsidR="00825D95" w:rsidRPr="00E07B7E">
        <w:rPr>
          <w:rFonts w:ascii="Times New Roman" w:hAnsi="Times New Roman" w:cs="Times New Roman"/>
          <w:sz w:val="24"/>
          <w:szCs w:val="24"/>
          <w:lang w:val="en-GB"/>
        </w:rPr>
        <w:t>are</w:t>
      </w:r>
      <w:r w:rsidR="00251403" w:rsidRPr="00E07B7E">
        <w:rPr>
          <w:rFonts w:ascii="Times New Roman" w:hAnsi="Times New Roman" w:cs="Times New Roman"/>
          <w:sz w:val="24"/>
          <w:szCs w:val="24"/>
          <w:lang w:val="en-GB"/>
        </w:rPr>
        <w:t xml:space="preserve"> procedurally fair to ri</w:t>
      </w:r>
      <w:r w:rsidR="00406573" w:rsidRPr="00E07B7E">
        <w:rPr>
          <w:rFonts w:ascii="Times New Roman" w:hAnsi="Times New Roman" w:cs="Times New Roman"/>
          <w:sz w:val="24"/>
          <w:szCs w:val="24"/>
          <w:lang w:val="en-GB"/>
        </w:rPr>
        <w:t>ght</w:t>
      </w:r>
      <w:r w:rsidR="007B690F" w:rsidRPr="00E07B7E">
        <w:rPr>
          <w:rFonts w:ascii="Times New Roman" w:hAnsi="Times New Roman" w:cs="Times New Roman"/>
          <w:sz w:val="24"/>
          <w:szCs w:val="24"/>
          <w:lang w:val="en-GB"/>
        </w:rPr>
        <w:t xml:space="preserve">sholders who </w:t>
      </w:r>
      <w:r w:rsidR="00825D95" w:rsidRPr="00E07B7E">
        <w:rPr>
          <w:rFonts w:ascii="Times New Roman" w:hAnsi="Times New Roman" w:cs="Times New Roman"/>
          <w:sz w:val="24"/>
          <w:szCs w:val="24"/>
          <w:lang w:val="en-GB"/>
        </w:rPr>
        <w:t>decide to u</w:t>
      </w:r>
      <w:r w:rsidR="00F41DC7" w:rsidRPr="00E07B7E">
        <w:rPr>
          <w:rFonts w:ascii="Times New Roman" w:hAnsi="Times New Roman" w:cs="Times New Roman"/>
          <w:sz w:val="24"/>
          <w:szCs w:val="24"/>
          <w:lang w:val="en-GB"/>
        </w:rPr>
        <w:t>se</w:t>
      </w:r>
      <w:r w:rsidR="00251403" w:rsidRPr="00E07B7E">
        <w:rPr>
          <w:rFonts w:ascii="Times New Roman" w:hAnsi="Times New Roman" w:cs="Times New Roman"/>
          <w:sz w:val="24"/>
          <w:szCs w:val="24"/>
          <w:lang w:val="en-GB"/>
        </w:rPr>
        <w:t xml:space="preserve"> them (e.g. </w:t>
      </w:r>
      <w:r w:rsidR="00406573" w:rsidRPr="00E07B7E">
        <w:rPr>
          <w:rFonts w:ascii="Times New Roman" w:hAnsi="Times New Roman" w:cs="Times New Roman"/>
          <w:sz w:val="24"/>
          <w:szCs w:val="24"/>
          <w:lang w:val="en-GB"/>
        </w:rPr>
        <w:t xml:space="preserve">by being clear on timeframes and potential outcomes that might be achieved, ensuring access to information and expertise necessary to pursue a case etc.). </w:t>
      </w:r>
      <w:r w:rsidR="00CE688D" w:rsidRPr="00EF73A3">
        <w:rPr>
          <w:rFonts w:ascii="Times New Roman" w:hAnsi="Times New Roman" w:cs="Times New Roman"/>
          <w:sz w:val="24"/>
          <w:szCs w:val="24"/>
          <w:lang w:val="en-GB"/>
        </w:rPr>
        <w:t xml:space="preserve">These procedural criteria have become the focus for evaluating whether NSBGMs are providing effective remedies. </w:t>
      </w:r>
      <w:r w:rsidR="00ED4389" w:rsidRPr="000F469C">
        <w:rPr>
          <w:rFonts w:ascii="Times New Roman" w:hAnsi="Times New Roman" w:cs="Times New Roman"/>
          <w:sz w:val="24"/>
          <w:szCs w:val="24"/>
          <w:lang w:val="en-GB"/>
        </w:rPr>
        <w:t>They ar</w:t>
      </w:r>
      <w:r w:rsidR="00636AE4" w:rsidRPr="0024344B">
        <w:rPr>
          <w:rFonts w:ascii="Times New Roman" w:hAnsi="Times New Roman" w:cs="Times New Roman"/>
          <w:sz w:val="24"/>
          <w:szCs w:val="24"/>
          <w:lang w:val="en-GB"/>
        </w:rPr>
        <w:t xml:space="preserve">e discussed by </w:t>
      </w:r>
      <w:r w:rsidR="004C57BF">
        <w:rPr>
          <w:rFonts w:ascii="Times New Roman" w:hAnsi="Times New Roman" w:cs="Times New Roman"/>
          <w:sz w:val="24"/>
          <w:szCs w:val="24"/>
          <w:lang w:val="en-GB"/>
        </w:rPr>
        <w:t>industry associations,</w:t>
      </w:r>
      <w:r w:rsidR="00F76A6C">
        <w:rPr>
          <w:rFonts w:ascii="Times New Roman" w:hAnsi="Times New Roman" w:cs="Times New Roman"/>
          <w:sz w:val="24"/>
          <w:szCs w:val="24"/>
        </w:rPr>
        <w:t xml:space="preserve"> companies and</w:t>
      </w:r>
      <w:r w:rsidR="00636AE4" w:rsidRPr="0024344B">
        <w:rPr>
          <w:rFonts w:ascii="Times New Roman" w:hAnsi="Times New Roman" w:cs="Times New Roman"/>
          <w:sz w:val="24"/>
          <w:szCs w:val="24"/>
        </w:rPr>
        <w:t xml:space="preserve"> multi-stakeholder initiatives </w:t>
      </w:r>
      <w:r w:rsidR="000F469C" w:rsidRPr="0024344B">
        <w:rPr>
          <w:rFonts w:ascii="Times New Roman" w:hAnsi="Times New Roman" w:cs="Times New Roman"/>
          <w:sz w:val="24"/>
          <w:szCs w:val="24"/>
        </w:rPr>
        <w:t xml:space="preserve">(including RSPO) </w:t>
      </w:r>
      <w:r w:rsidR="00636AE4" w:rsidRPr="0024344B">
        <w:rPr>
          <w:rFonts w:ascii="Times New Roman" w:hAnsi="Times New Roman" w:cs="Times New Roman"/>
          <w:sz w:val="24"/>
          <w:szCs w:val="24"/>
        </w:rPr>
        <w:t xml:space="preserve">as standards against which to </w:t>
      </w:r>
      <w:r w:rsidR="004C57BF">
        <w:rPr>
          <w:rFonts w:ascii="Times New Roman" w:hAnsi="Times New Roman" w:cs="Times New Roman"/>
          <w:sz w:val="24"/>
          <w:szCs w:val="24"/>
        </w:rPr>
        <w:t xml:space="preserve">instigate, </w:t>
      </w:r>
      <w:r w:rsidR="00636AE4" w:rsidRPr="0024344B">
        <w:rPr>
          <w:rFonts w:ascii="Times New Roman" w:hAnsi="Times New Roman" w:cs="Times New Roman"/>
          <w:sz w:val="24"/>
          <w:szCs w:val="24"/>
        </w:rPr>
        <w:t>review and reform the operation of their complaints mec</w:t>
      </w:r>
      <w:r w:rsidR="000F469C" w:rsidRPr="0024344B">
        <w:rPr>
          <w:rFonts w:ascii="Times New Roman" w:hAnsi="Times New Roman" w:cs="Times New Roman"/>
          <w:sz w:val="24"/>
          <w:szCs w:val="24"/>
        </w:rPr>
        <w:t>hanisms</w:t>
      </w:r>
      <w:r w:rsidR="00ED4389" w:rsidRPr="000F469C">
        <w:rPr>
          <w:rFonts w:ascii="Times New Roman" w:hAnsi="Times New Roman" w:cs="Times New Roman"/>
          <w:sz w:val="24"/>
          <w:szCs w:val="24"/>
          <w:lang w:val="en-GB"/>
        </w:rPr>
        <w:t>.</w:t>
      </w:r>
      <w:r w:rsidR="00474E89" w:rsidRPr="000F469C">
        <w:rPr>
          <w:rStyle w:val="FootnoteReference"/>
          <w:rFonts w:ascii="Times New Roman" w:hAnsi="Times New Roman" w:cs="Times New Roman"/>
          <w:sz w:val="24"/>
          <w:szCs w:val="24"/>
          <w:lang w:val="en-GB"/>
        </w:rPr>
        <w:footnoteReference w:id="25"/>
      </w:r>
      <w:r w:rsidR="00ED4389">
        <w:rPr>
          <w:rFonts w:ascii="Times New Roman" w:hAnsi="Times New Roman" w:cs="Times New Roman"/>
          <w:sz w:val="24"/>
          <w:szCs w:val="24"/>
          <w:lang w:val="en-GB"/>
        </w:rPr>
        <w:t xml:space="preserve"> </w:t>
      </w:r>
      <w:r w:rsidR="001021AC" w:rsidRPr="00EF73A3">
        <w:rPr>
          <w:rFonts w:ascii="Times New Roman" w:hAnsi="Times New Roman" w:cs="Times New Roman"/>
          <w:sz w:val="24"/>
          <w:szCs w:val="24"/>
          <w:lang w:val="en-GB"/>
        </w:rPr>
        <w:t xml:space="preserve">They are utilised in academic studies </w:t>
      </w:r>
      <w:r w:rsidR="001021AC" w:rsidRPr="00EF73A3">
        <w:rPr>
          <w:rFonts w:ascii="Times New Roman" w:hAnsi="Times New Roman" w:cs="Times New Roman"/>
          <w:sz w:val="24"/>
          <w:szCs w:val="24"/>
          <w:lang w:val="en-GB"/>
        </w:rPr>
        <w:lastRenderedPageBreak/>
        <w:t>which investigate how NSBGMs are operating.</w:t>
      </w:r>
      <w:r w:rsidR="001021AC" w:rsidRPr="00EF73A3">
        <w:rPr>
          <w:rStyle w:val="FootnoteReference"/>
          <w:rFonts w:ascii="Times New Roman" w:hAnsi="Times New Roman" w:cs="Times New Roman"/>
          <w:sz w:val="24"/>
          <w:szCs w:val="24"/>
          <w:lang w:val="en-GB"/>
        </w:rPr>
        <w:footnoteReference w:id="26"/>
      </w:r>
      <w:r w:rsidR="001021AC" w:rsidRPr="00EF73A3">
        <w:rPr>
          <w:rFonts w:ascii="Times New Roman" w:hAnsi="Times New Roman" w:cs="Times New Roman"/>
          <w:sz w:val="24"/>
          <w:szCs w:val="24"/>
          <w:lang w:val="en-GB"/>
        </w:rPr>
        <w:t xml:space="preserve"> </w:t>
      </w:r>
      <w:r w:rsidR="00CE688D" w:rsidRPr="00EF73A3">
        <w:rPr>
          <w:rFonts w:ascii="Times New Roman" w:hAnsi="Times New Roman" w:cs="Times New Roman"/>
          <w:sz w:val="24"/>
          <w:szCs w:val="24"/>
          <w:lang w:val="en-GB"/>
        </w:rPr>
        <w:t xml:space="preserve">They are also translated into benchmarking processes which compare NSBGMs’ performance. For instance, the Corporate Human Rights Benchmark compares the performance of </w:t>
      </w:r>
      <w:r w:rsidR="00CE688D" w:rsidRPr="00EF73A3">
        <w:rPr>
          <w:rFonts w:ascii="Times New Roman" w:hAnsi="Times New Roman" w:cs="Times New Roman"/>
          <w:sz w:val="24"/>
          <w:szCs w:val="24"/>
        </w:rPr>
        <w:t>companies’ operational level grievance mechanisms using indicators which draw upon the UNGPs’ effectiveness criteria.</w:t>
      </w:r>
      <w:r w:rsidR="00CE688D" w:rsidRPr="00EF73A3">
        <w:rPr>
          <w:rStyle w:val="FootnoteReference"/>
          <w:rFonts w:ascii="Times New Roman" w:hAnsi="Times New Roman" w:cs="Times New Roman"/>
          <w:sz w:val="24"/>
          <w:szCs w:val="24"/>
        </w:rPr>
        <w:footnoteReference w:id="27"/>
      </w:r>
      <w:r w:rsidR="00CE688D" w:rsidRPr="00EF73A3">
        <w:rPr>
          <w:rFonts w:ascii="Times New Roman" w:hAnsi="Times New Roman" w:cs="Times New Roman"/>
          <w:sz w:val="24"/>
          <w:szCs w:val="24"/>
        </w:rPr>
        <w:t xml:space="preserve"> </w:t>
      </w:r>
      <w:r w:rsidR="00ED4389">
        <w:rPr>
          <w:rFonts w:ascii="Times New Roman" w:hAnsi="Times New Roman" w:cs="Times New Roman"/>
          <w:sz w:val="24"/>
          <w:szCs w:val="24"/>
        </w:rPr>
        <w:t xml:space="preserve">As such, the </w:t>
      </w:r>
      <w:r w:rsidR="006159AA">
        <w:rPr>
          <w:rFonts w:ascii="Times New Roman" w:hAnsi="Times New Roman" w:cs="Times New Roman"/>
          <w:sz w:val="24"/>
          <w:szCs w:val="24"/>
        </w:rPr>
        <w:t>UN</w:t>
      </w:r>
      <w:r w:rsidR="00ED4389">
        <w:rPr>
          <w:rFonts w:ascii="Times New Roman" w:hAnsi="Times New Roman" w:cs="Times New Roman"/>
          <w:sz w:val="24"/>
          <w:szCs w:val="24"/>
        </w:rPr>
        <w:t>GPs’ effectiveness criteria have become critical to the way in which</w:t>
      </w:r>
      <w:r w:rsidR="00CE688D" w:rsidRPr="00EF73A3">
        <w:rPr>
          <w:rFonts w:ascii="Times New Roman" w:hAnsi="Times New Roman" w:cs="Times New Roman"/>
          <w:sz w:val="24"/>
          <w:szCs w:val="24"/>
          <w:lang w:val="en-GB"/>
        </w:rPr>
        <w:t xml:space="preserve"> </w:t>
      </w:r>
      <w:r w:rsidR="00A3654C">
        <w:rPr>
          <w:rFonts w:ascii="Times New Roman" w:hAnsi="Times New Roman" w:cs="Times New Roman"/>
          <w:sz w:val="24"/>
          <w:szCs w:val="24"/>
          <w:lang w:val="en-GB"/>
        </w:rPr>
        <w:t>NSBGMs are evaluated as well as being</w:t>
      </w:r>
      <w:r w:rsidR="00ED4389">
        <w:rPr>
          <w:rFonts w:ascii="Times New Roman" w:hAnsi="Times New Roman" w:cs="Times New Roman"/>
          <w:sz w:val="24"/>
          <w:szCs w:val="24"/>
          <w:lang w:val="en-GB"/>
        </w:rPr>
        <w:t xml:space="preserve"> central to </w:t>
      </w:r>
      <w:r w:rsidR="006159AA">
        <w:rPr>
          <w:rFonts w:ascii="Times New Roman" w:hAnsi="Times New Roman" w:cs="Times New Roman"/>
          <w:sz w:val="24"/>
          <w:szCs w:val="24"/>
          <w:lang w:val="en-GB"/>
        </w:rPr>
        <w:t xml:space="preserve">claims that efforts have been taken to strengthen complaints mechanisms by a number of authorities responsible for running them. </w:t>
      </w:r>
    </w:p>
    <w:p w14:paraId="6DE261AA" w14:textId="4FEA5FA6" w:rsidR="003433A8" w:rsidRDefault="009B74A7"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lang w:val="en-GB"/>
        </w:rPr>
        <w:t>While</w:t>
      </w:r>
      <w:r w:rsidR="00EC4279">
        <w:rPr>
          <w:rFonts w:ascii="Times New Roman" w:hAnsi="Times New Roman" w:cs="Times New Roman"/>
          <w:sz w:val="24"/>
          <w:szCs w:val="24"/>
          <w:lang w:val="en-GB"/>
        </w:rPr>
        <w:t xml:space="preserve"> they </w:t>
      </w:r>
      <w:r w:rsidR="001F6F54">
        <w:rPr>
          <w:rFonts w:ascii="Times New Roman" w:hAnsi="Times New Roman" w:cs="Times New Roman"/>
          <w:sz w:val="24"/>
          <w:szCs w:val="24"/>
          <w:lang w:val="en-GB"/>
        </w:rPr>
        <w:t>have become central</w:t>
      </w:r>
      <w:r w:rsidR="00EC4279">
        <w:rPr>
          <w:rFonts w:ascii="Times New Roman" w:hAnsi="Times New Roman" w:cs="Times New Roman"/>
          <w:sz w:val="24"/>
          <w:szCs w:val="24"/>
          <w:lang w:val="en-GB"/>
        </w:rPr>
        <w:t xml:space="preserve"> to </w:t>
      </w:r>
      <w:r w:rsidR="001F6F54">
        <w:rPr>
          <w:rFonts w:ascii="Times New Roman" w:hAnsi="Times New Roman" w:cs="Times New Roman"/>
          <w:sz w:val="24"/>
          <w:szCs w:val="24"/>
          <w:lang w:val="en-GB"/>
        </w:rPr>
        <w:t xml:space="preserve">the </w:t>
      </w:r>
      <w:r w:rsidR="00EC4279">
        <w:rPr>
          <w:rFonts w:ascii="Times New Roman" w:hAnsi="Times New Roman" w:cs="Times New Roman"/>
          <w:sz w:val="24"/>
          <w:szCs w:val="24"/>
          <w:lang w:val="en-GB"/>
        </w:rPr>
        <w:t>evaluat</w:t>
      </w:r>
      <w:r w:rsidR="001F6F54">
        <w:rPr>
          <w:rFonts w:ascii="Times New Roman" w:hAnsi="Times New Roman" w:cs="Times New Roman"/>
          <w:sz w:val="24"/>
          <w:szCs w:val="24"/>
          <w:lang w:val="en-GB"/>
        </w:rPr>
        <w:t>ion of</w:t>
      </w:r>
      <w:r w:rsidR="00EC4279">
        <w:rPr>
          <w:rFonts w:ascii="Times New Roman" w:hAnsi="Times New Roman" w:cs="Times New Roman"/>
          <w:sz w:val="24"/>
          <w:szCs w:val="24"/>
          <w:lang w:val="en-GB"/>
        </w:rPr>
        <w:t xml:space="preserve"> NS</w:t>
      </w:r>
      <w:r w:rsidR="001F6F54">
        <w:rPr>
          <w:rFonts w:ascii="Times New Roman" w:hAnsi="Times New Roman" w:cs="Times New Roman"/>
          <w:sz w:val="24"/>
          <w:szCs w:val="24"/>
          <w:lang w:val="en-GB"/>
        </w:rPr>
        <w:t xml:space="preserve">BGM’s complaints mechanisms, the </w:t>
      </w:r>
      <w:r w:rsidR="00C37D95">
        <w:rPr>
          <w:rFonts w:ascii="Times New Roman" w:hAnsi="Times New Roman" w:cs="Times New Roman"/>
          <w:sz w:val="24"/>
          <w:szCs w:val="24"/>
          <w:lang w:val="en-GB"/>
        </w:rPr>
        <w:t xml:space="preserve">UNGPs’ effectiveness criteria </w:t>
      </w:r>
      <w:proofErr w:type="gramStart"/>
      <w:r w:rsidR="00C37D95">
        <w:rPr>
          <w:rFonts w:ascii="Times New Roman" w:hAnsi="Times New Roman" w:cs="Times New Roman"/>
          <w:sz w:val="24"/>
          <w:szCs w:val="24"/>
          <w:lang w:val="en-GB"/>
        </w:rPr>
        <w:t xml:space="preserve">leave </w:t>
      </w:r>
      <w:r w:rsidR="00ED4389">
        <w:rPr>
          <w:rFonts w:ascii="Times New Roman" w:hAnsi="Times New Roman" w:cs="Times New Roman"/>
          <w:sz w:val="24"/>
          <w:szCs w:val="24"/>
          <w:lang w:val="en-GB"/>
        </w:rPr>
        <w:t xml:space="preserve"> t</w:t>
      </w:r>
      <w:r w:rsidR="008C296D">
        <w:rPr>
          <w:rFonts w:ascii="Times New Roman" w:hAnsi="Times New Roman" w:cs="Times New Roman"/>
          <w:sz w:val="24"/>
          <w:szCs w:val="24"/>
          <w:lang w:val="en-GB"/>
        </w:rPr>
        <w:t>he</w:t>
      </w:r>
      <w:proofErr w:type="gramEnd"/>
      <w:r w:rsidR="008C296D">
        <w:rPr>
          <w:rFonts w:ascii="Times New Roman" w:hAnsi="Times New Roman" w:cs="Times New Roman"/>
          <w:sz w:val="24"/>
          <w:szCs w:val="24"/>
          <w:lang w:val="en-GB"/>
        </w:rPr>
        <w:t xml:space="preserve"> issue of outcomes  largely unaddressed</w:t>
      </w:r>
      <w:r w:rsidR="00C37D95">
        <w:rPr>
          <w:rFonts w:ascii="Times New Roman" w:hAnsi="Times New Roman" w:cs="Times New Roman"/>
          <w:sz w:val="24"/>
          <w:szCs w:val="24"/>
          <w:lang w:val="en-GB"/>
        </w:rPr>
        <w:t>.</w:t>
      </w:r>
      <w:r w:rsidR="005C6100">
        <w:rPr>
          <w:rFonts w:ascii="Times New Roman" w:hAnsi="Times New Roman" w:cs="Times New Roman"/>
          <w:sz w:val="24"/>
          <w:szCs w:val="24"/>
          <w:lang w:val="en-GB"/>
        </w:rPr>
        <w:t xml:space="preserve"> </w:t>
      </w:r>
      <w:r w:rsidR="00AB7F0A">
        <w:rPr>
          <w:rFonts w:ascii="Times New Roman" w:hAnsi="Times New Roman" w:cs="Times New Roman"/>
          <w:sz w:val="24"/>
          <w:szCs w:val="24"/>
          <w:lang w:val="en-GB"/>
        </w:rPr>
        <w:t>The only cri</w:t>
      </w:r>
      <w:r w:rsidR="005D4F46">
        <w:rPr>
          <w:rFonts w:ascii="Times New Roman" w:hAnsi="Times New Roman" w:cs="Times New Roman"/>
          <w:sz w:val="24"/>
          <w:szCs w:val="24"/>
          <w:lang w:val="en-GB"/>
        </w:rPr>
        <w:t>teri</w:t>
      </w:r>
      <w:r w:rsidR="0027030A">
        <w:rPr>
          <w:rFonts w:ascii="Times New Roman" w:hAnsi="Times New Roman" w:cs="Times New Roman"/>
          <w:sz w:val="24"/>
          <w:szCs w:val="24"/>
          <w:lang w:val="en-GB"/>
        </w:rPr>
        <w:t>on</w:t>
      </w:r>
      <w:r w:rsidR="005D4F46">
        <w:rPr>
          <w:rFonts w:ascii="Times New Roman" w:hAnsi="Times New Roman" w:cs="Times New Roman"/>
          <w:sz w:val="24"/>
          <w:szCs w:val="24"/>
          <w:lang w:val="en-GB"/>
        </w:rPr>
        <w:t xml:space="preserve"> which touches upon </w:t>
      </w:r>
      <w:r w:rsidR="00A173EA">
        <w:rPr>
          <w:rFonts w:ascii="Times New Roman" w:hAnsi="Times New Roman" w:cs="Times New Roman"/>
          <w:sz w:val="24"/>
          <w:szCs w:val="24"/>
          <w:lang w:val="en-GB"/>
        </w:rPr>
        <w:t>the</w:t>
      </w:r>
      <w:r w:rsidR="003433A8">
        <w:rPr>
          <w:rFonts w:ascii="Times New Roman" w:hAnsi="Times New Roman" w:cs="Times New Roman"/>
          <w:sz w:val="24"/>
          <w:szCs w:val="24"/>
          <w:lang w:val="en-GB"/>
        </w:rPr>
        <w:t xml:space="preserve"> issue</w:t>
      </w:r>
      <w:r w:rsidR="005D4F46">
        <w:rPr>
          <w:rFonts w:ascii="Times New Roman" w:hAnsi="Times New Roman" w:cs="Times New Roman"/>
          <w:sz w:val="24"/>
          <w:szCs w:val="24"/>
          <w:lang w:val="en-GB"/>
        </w:rPr>
        <w:t xml:space="preserve"> </w:t>
      </w:r>
      <w:r w:rsidR="00A173EA">
        <w:rPr>
          <w:rFonts w:ascii="Times New Roman" w:hAnsi="Times New Roman" w:cs="Times New Roman"/>
          <w:sz w:val="24"/>
          <w:szCs w:val="24"/>
          <w:lang w:val="en-GB"/>
        </w:rPr>
        <w:t xml:space="preserve">of outcomes </w:t>
      </w:r>
      <w:r w:rsidR="005D4F46">
        <w:rPr>
          <w:rFonts w:ascii="Times New Roman" w:hAnsi="Times New Roman" w:cs="Times New Roman"/>
          <w:sz w:val="24"/>
          <w:szCs w:val="24"/>
          <w:lang w:val="en-GB"/>
        </w:rPr>
        <w:t>states</w:t>
      </w:r>
      <w:r w:rsidR="00561666">
        <w:rPr>
          <w:rFonts w:ascii="Times New Roman" w:hAnsi="Times New Roman" w:cs="Times New Roman"/>
          <w:sz w:val="24"/>
          <w:szCs w:val="24"/>
          <w:lang w:val="en-GB"/>
        </w:rPr>
        <w:t xml:space="preserve"> that grievance mechanisms should</w:t>
      </w:r>
      <w:r w:rsidR="00712DE3">
        <w:rPr>
          <w:rFonts w:ascii="Times New Roman" w:hAnsi="Times New Roman" w:cs="Times New Roman"/>
          <w:sz w:val="24"/>
          <w:szCs w:val="24"/>
          <w:lang w:val="en-GB"/>
        </w:rPr>
        <w:t xml:space="preserve"> </w:t>
      </w:r>
      <w:r w:rsidR="00561666">
        <w:rPr>
          <w:rFonts w:ascii="Times New Roman" w:hAnsi="Times New Roman" w:cs="Times New Roman"/>
          <w:sz w:val="24"/>
          <w:szCs w:val="24"/>
          <w:lang w:val="en-GB"/>
        </w:rPr>
        <w:t>‘</w:t>
      </w:r>
      <w:r w:rsidR="00561666">
        <w:rPr>
          <w:rFonts w:ascii="Times New Roman" w:hAnsi="Times New Roman" w:cs="Times New Roman"/>
          <w:sz w:val="24"/>
          <w:szCs w:val="24"/>
        </w:rPr>
        <w:t>ensure</w:t>
      </w:r>
      <w:r w:rsidR="00712DE3" w:rsidRPr="00712DE3">
        <w:rPr>
          <w:rFonts w:ascii="Times New Roman" w:hAnsi="Times New Roman" w:cs="Times New Roman"/>
          <w:sz w:val="24"/>
          <w:szCs w:val="24"/>
        </w:rPr>
        <w:t xml:space="preserve"> that outcomes and remedies accord with internationally recognized human rights</w:t>
      </w:r>
      <w:r w:rsidR="00584C9A">
        <w:rPr>
          <w:rFonts w:ascii="Times New Roman" w:hAnsi="Times New Roman" w:cs="Times New Roman"/>
          <w:sz w:val="24"/>
          <w:szCs w:val="24"/>
        </w:rPr>
        <w:t>.</w:t>
      </w:r>
      <w:r w:rsidR="00561666">
        <w:rPr>
          <w:rFonts w:ascii="Times New Roman" w:hAnsi="Times New Roman" w:cs="Times New Roman"/>
          <w:sz w:val="24"/>
          <w:szCs w:val="24"/>
        </w:rPr>
        <w:t>’</w:t>
      </w:r>
      <w:r w:rsidR="00561666">
        <w:rPr>
          <w:rStyle w:val="FootnoteReference"/>
          <w:rFonts w:ascii="Times New Roman" w:hAnsi="Times New Roman" w:cs="Times New Roman"/>
          <w:sz w:val="24"/>
          <w:szCs w:val="24"/>
          <w:lang w:val="en-GB"/>
        </w:rPr>
        <w:footnoteReference w:id="28"/>
      </w:r>
      <w:r w:rsidR="00712DE3">
        <w:rPr>
          <w:rFonts w:ascii="Times New Roman" w:hAnsi="Times New Roman" w:cs="Times New Roman"/>
          <w:sz w:val="24"/>
          <w:szCs w:val="24"/>
          <w:lang w:val="en-GB"/>
        </w:rPr>
        <w:t xml:space="preserve"> </w:t>
      </w:r>
      <w:r w:rsidR="00467D44">
        <w:rPr>
          <w:rFonts w:ascii="Times New Roman" w:hAnsi="Times New Roman" w:cs="Times New Roman"/>
          <w:sz w:val="24"/>
          <w:szCs w:val="24"/>
          <w:lang w:val="en-GB"/>
        </w:rPr>
        <w:t>This criterion</w:t>
      </w:r>
      <w:r w:rsidR="005D4F46">
        <w:rPr>
          <w:rFonts w:ascii="Times New Roman" w:hAnsi="Times New Roman" w:cs="Times New Roman"/>
          <w:sz w:val="24"/>
          <w:szCs w:val="24"/>
          <w:lang w:val="en-GB"/>
        </w:rPr>
        <w:t xml:space="preserve"> has been found to be ambiguous and to be difficult to transl</w:t>
      </w:r>
      <w:r w:rsidR="00467D44">
        <w:rPr>
          <w:rFonts w:ascii="Times New Roman" w:hAnsi="Times New Roman" w:cs="Times New Roman"/>
          <w:sz w:val="24"/>
          <w:szCs w:val="24"/>
          <w:lang w:val="en-GB"/>
        </w:rPr>
        <w:t>ate</w:t>
      </w:r>
      <w:r w:rsidR="00CF429B">
        <w:rPr>
          <w:rFonts w:ascii="Times New Roman" w:hAnsi="Times New Roman" w:cs="Times New Roman"/>
          <w:sz w:val="24"/>
          <w:szCs w:val="24"/>
          <w:lang w:val="en-GB"/>
        </w:rPr>
        <w:t xml:space="preserve"> into</w:t>
      </w:r>
      <w:r w:rsidR="005D4F46">
        <w:rPr>
          <w:rFonts w:ascii="Times New Roman" w:hAnsi="Times New Roman" w:cs="Times New Roman"/>
          <w:sz w:val="24"/>
          <w:szCs w:val="24"/>
          <w:lang w:val="en-GB"/>
        </w:rPr>
        <w:t xml:space="preserve"> metrics whereby the effectiveness of outcomes can actually be measured.</w:t>
      </w:r>
      <w:r w:rsidR="005D4F46">
        <w:rPr>
          <w:rStyle w:val="FootnoteReference"/>
          <w:rFonts w:ascii="Times New Roman" w:hAnsi="Times New Roman" w:cs="Times New Roman"/>
          <w:sz w:val="24"/>
          <w:szCs w:val="24"/>
          <w:lang w:val="en-GB"/>
        </w:rPr>
        <w:footnoteReference w:id="29"/>
      </w:r>
      <w:r w:rsidR="00952754">
        <w:rPr>
          <w:rFonts w:ascii="Times New Roman" w:hAnsi="Times New Roman" w:cs="Times New Roman"/>
          <w:sz w:val="24"/>
          <w:szCs w:val="24"/>
          <w:lang w:val="en-GB"/>
        </w:rPr>
        <w:t xml:space="preserve"> </w:t>
      </w:r>
      <w:r w:rsidR="00467D44">
        <w:rPr>
          <w:rFonts w:ascii="Times New Roman" w:hAnsi="Times New Roman" w:cs="Times New Roman"/>
          <w:sz w:val="24"/>
          <w:szCs w:val="24"/>
          <w:lang w:val="en-GB"/>
        </w:rPr>
        <w:t>In</w:t>
      </w:r>
      <w:r w:rsidR="00952754">
        <w:rPr>
          <w:rFonts w:ascii="Times New Roman" w:hAnsi="Times New Roman" w:cs="Times New Roman"/>
          <w:sz w:val="24"/>
          <w:szCs w:val="24"/>
          <w:lang w:val="en-GB"/>
        </w:rPr>
        <w:t xml:space="preserve"> light of this</w:t>
      </w:r>
      <w:r w:rsidR="00A173EA">
        <w:rPr>
          <w:rFonts w:ascii="Times New Roman" w:hAnsi="Times New Roman" w:cs="Times New Roman"/>
          <w:sz w:val="24"/>
          <w:szCs w:val="24"/>
          <w:lang w:val="en-GB"/>
        </w:rPr>
        <w:t>, commentators have raised concerns that</w:t>
      </w:r>
      <w:r w:rsidR="003433A8">
        <w:rPr>
          <w:rFonts w:ascii="Times New Roman" w:hAnsi="Times New Roman" w:cs="Times New Roman"/>
          <w:sz w:val="24"/>
          <w:szCs w:val="24"/>
          <w:lang w:val="en-GB"/>
        </w:rPr>
        <w:t xml:space="preserve"> </w:t>
      </w:r>
      <w:r w:rsidR="000759C4" w:rsidRPr="00E07B7E">
        <w:rPr>
          <w:rFonts w:ascii="Times New Roman" w:hAnsi="Times New Roman" w:cs="Times New Roman"/>
          <w:bCs/>
          <w:sz w:val="24"/>
          <w:szCs w:val="24"/>
          <w:lang w:val="en-GB"/>
        </w:rPr>
        <w:t>focus</w:t>
      </w:r>
      <w:r w:rsidR="00DC6B4F" w:rsidRPr="00E07B7E">
        <w:rPr>
          <w:rFonts w:ascii="Times New Roman" w:hAnsi="Times New Roman" w:cs="Times New Roman"/>
          <w:bCs/>
          <w:sz w:val="24"/>
          <w:szCs w:val="24"/>
          <w:lang w:val="en-GB"/>
        </w:rPr>
        <w:t xml:space="preserve">ing on the </w:t>
      </w:r>
      <w:r w:rsidR="00DC6B4F" w:rsidRPr="00E07B7E">
        <w:rPr>
          <w:rFonts w:ascii="Times New Roman" w:hAnsi="Times New Roman" w:cs="Times New Roman"/>
          <w:bCs/>
          <w:i/>
          <w:sz w:val="24"/>
          <w:szCs w:val="24"/>
          <w:lang w:val="en-GB"/>
        </w:rPr>
        <w:t>process</w:t>
      </w:r>
      <w:r w:rsidR="00DC6B4F" w:rsidRPr="00E07B7E">
        <w:rPr>
          <w:rFonts w:ascii="Times New Roman" w:hAnsi="Times New Roman" w:cs="Times New Roman"/>
          <w:bCs/>
          <w:sz w:val="24"/>
          <w:szCs w:val="24"/>
          <w:lang w:val="en-GB"/>
        </w:rPr>
        <w:t xml:space="preserve"> of how an NSBGM</w:t>
      </w:r>
      <w:r w:rsidR="00AF324F" w:rsidRPr="00E07B7E">
        <w:rPr>
          <w:rFonts w:ascii="Times New Roman" w:hAnsi="Times New Roman" w:cs="Times New Roman"/>
          <w:bCs/>
          <w:sz w:val="24"/>
          <w:szCs w:val="24"/>
          <w:lang w:val="en-GB"/>
        </w:rPr>
        <w:t xml:space="preserve"> </w:t>
      </w:r>
      <w:r w:rsidR="007B7BC4" w:rsidRPr="00E07B7E">
        <w:rPr>
          <w:rFonts w:ascii="Times New Roman" w:hAnsi="Times New Roman" w:cs="Times New Roman"/>
          <w:bCs/>
          <w:sz w:val="24"/>
          <w:szCs w:val="24"/>
          <w:lang w:val="en-GB"/>
        </w:rPr>
        <w:t>operates</w:t>
      </w:r>
      <w:r w:rsidR="003433A8">
        <w:rPr>
          <w:rFonts w:ascii="Times New Roman" w:hAnsi="Times New Roman" w:cs="Times New Roman"/>
          <w:bCs/>
          <w:sz w:val="24"/>
          <w:szCs w:val="24"/>
          <w:lang w:val="en-GB"/>
        </w:rPr>
        <w:t xml:space="preserve"> may</w:t>
      </w:r>
      <w:r w:rsidR="00AF5AF3" w:rsidRPr="00E07B7E">
        <w:rPr>
          <w:rFonts w:ascii="Times New Roman" w:hAnsi="Times New Roman" w:cs="Times New Roman"/>
          <w:bCs/>
          <w:sz w:val="24"/>
          <w:szCs w:val="24"/>
          <w:lang w:val="en-GB"/>
        </w:rPr>
        <w:t xml:space="preserve"> marginalise</w:t>
      </w:r>
      <w:r w:rsidR="00DC6B4F" w:rsidRPr="00E07B7E">
        <w:rPr>
          <w:rFonts w:ascii="Times New Roman" w:hAnsi="Times New Roman" w:cs="Times New Roman"/>
          <w:bCs/>
          <w:sz w:val="24"/>
          <w:szCs w:val="24"/>
          <w:lang w:val="en-GB"/>
        </w:rPr>
        <w:t xml:space="preserve"> the </w:t>
      </w:r>
      <w:r w:rsidR="003433A8">
        <w:rPr>
          <w:rFonts w:ascii="Times New Roman" w:hAnsi="Times New Roman" w:cs="Times New Roman"/>
          <w:bCs/>
          <w:sz w:val="24"/>
          <w:szCs w:val="24"/>
          <w:lang w:val="en-GB"/>
        </w:rPr>
        <w:t xml:space="preserve">more </w:t>
      </w:r>
      <w:r w:rsidR="00DC6B4F" w:rsidRPr="00E07B7E">
        <w:rPr>
          <w:rFonts w:ascii="Times New Roman" w:hAnsi="Times New Roman" w:cs="Times New Roman"/>
          <w:bCs/>
          <w:sz w:val="24"/>
          <w:szCs w:val="24"/>
          <w:lang w:val="en-GB"/>
        </w:rPr>
        <w:t xml:space="preserve">fundamental question of what </w:t>
      </w:r>
      <w:r w:rsidR="00DC6B4F" w:rsidRPr="00E07B7E">
        <w:rPr>
          <w:rFonts w:ascii="Times New Roman" w:hAnsi="Times New Roman" w:cs="Times New Roman"/>
          <w:bCs/>
          <w:i/>
          <w:sz w:val="24"/>
          <w:szCs w:val="24"/>
          <w:lang w:val="en-GB"/>
        </w:rPr>
        <w:t>outcomes</w:t>
      </w:r>
      <w:r w:rsidR="00AF324F" w:rsidRPr="00E07B7E">
        <w:rPr>
          <w:rFonts w:ascii="Times New Roman" w:hAnsi="Times New Roman" w:cs="Times New Roman"/>
          <w:bCs/>
          <w:sz w:val="24"/>
          <w:szCs w:val="24"/>
          <w:lang w:val="en-GB"/>
        </w:rPr>
        <w:t xml:space="preserve"> are </w:t>
      </w:r>
      <w:r w:rsidR="00DC6B4F" w:rsidRPr="00E07B7E">
        <w:rPr>
          <w:rFonts w:ascii="Times New Roman" w:hAnsi="Times New Roman" w:cs="Times New Roman"/>
          <w:bCs/>
          <w:sz w:val="24"/>
          <w:szCs w:val="24"/>
          <w:lang w:val="en-GB"/>
        </w:rPr>
        <w:t xml:space="preserve">actually </w:t>
      </w:r>
      <w:r w:rsidR="00AF324F" w:rsidRPr="00E07B7E">
        <w:rPr>
          <w:rFonts w:ascii="Times New Roman" w:hAnsi="Times New Roman" w:cs="Times New Roman"/>
          <w:bCs/>
          <w:sz w:val="24"/>
          <w:szCs w:val="24"/>
          <w:lang w:val="en-GB"/>
        </w:rPr>
        <w:t>achieved for rightsholders</w:t>
      </w:r>
      <w:r w:rsidR="003433A8">
        <w:rPr>
          <w:rFonts w:ascii="Times New Roman" w:hAnsi="Times New Roman" w:cs="Times New Roman"/>
          <w:bCs/>
          <w:sz w:val="24"/>
          <w:szCs w:val="24"/>
          <w:lang w:val="en-GB"/>
        </w:rPr>
        <w:t xml:space="preserve"> and</w:t>
      </w:r>
      <w:r w:rsidR="00F306CB" w:rsidRPr="00E07B7E">
        <w:rPr>
          <w:rFonts w:ascii="Times New Roman" w:hAnsi="Times New Roman" w:cs="Times New Roman"/>
          <w:sz w:val="24"/>
          <w:szCs w:val="24"/>
        </w:rPr>
        <w:t xml:space="preserve"> that an NSBGM which meets the standards of procedural fairness demanded by the UNGPs might still fail to provide </w:t>
      </w:r>
      <w:r w:rsidR="00D55C44" w:rsidRPr="00E07B7E">
        <w:rPr>
          <w:rFonts w:ascii="Times New Roman" w:hAnsi="Times New Roman" w:cs="Times New Roman"/>
          <w:sz w:val="24"/>
          <w:szCs w:val="24"/>
        </w:rPr>
        <w:t>an effective remedy</w:t>
      </w:r>
      <w:r w:rsidR="00F306CB" w:rsidRPr="00E07B7E">
        <w:rPr>
          <w:rFonts w:ascii="Times New Roman" w:hAnsi="Times New Roman" w:cs="Times New Roman"/>
          <w:sz w:val="24"/>
          <w:szCs w:val="24"/>
        </w:rPr>
        <w:t xml:space="preserve"> for </w:t>
      </w:r>
      <w:r w:rsidR="00D4669D" w:rsidRPr="00E07B7E">
        <w:rPr>
          <w:rFonts w:ascii="Times New Roman" w:hAnsi="Times New Roman" w:cs="Times New Roman"/>
          <w:sz w:val="24"/>
          <w:szCs w:val="24"/>
        </w:rPr>
        <w:t>claimant</w:t>
      </w:r>
      <w:r w:rsidR="00F306CB" w:rsidRPr="00E07B7E">
        <w:rPr>
          <w:rFonts w:ascii="Times New Roman" w:hAnsi="Times New Roman" w:cs="Times New Roman"/>
          <w:sz w:val="24"/>
          <w:szCs w:val="24"/>
        </w:rPr>
        <w:t>s</w:t>
      </w:r>
      <w:r w:rsidR="003433A8">
        <w:rPr>
          <w:rFonts w:ascii="Times New Roman" w:hAnsi="Times New Roman" w:cs="Times New Roman"/>
          <w:sz w:val="24"/>
          <w:szCs w:val="24"/>
        </w:rPr>
        <w:t>.</w:t>
      </w:r>
      <w:r w:rsidR="00137388" w:rsidRPr="00E07B7E">
        <w:rPr>
          <w:rStyle w:val="FootnoteReference"/>
          <w:rFonts w:ascii="Times New Roman" w:hAnsi="Times New Roman" w:cs="Times New Roman"/>
          <w:sz w:val="24"/>
          <w:szCs w:val="24"/>
        </w:rPr>
        <w:footnoteReference w:id="30"/>
      </w:r>
      <w:r w:rsidR="00F306CB" w:rsidRPr="00E07B7E">
        <w:rPr>
          <w:rFonts w:ascii="Times New Roman" w:hAnsi="Times New Roman" w:cs="Times New Roman"/>
          <w:sz w:val="24"/>
          <w:szCs w:val="24"/>
        </w:rPr>
        <w:t xml:space="preserve"> </w:t>
      </w:r>
    </w:p>
    <w:p w14:paraId="0A9A7846" w14:textId="61624A8C" w:rsidR="00CB76B4" w:rsidRDefault="00CC3108"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One </w:t>
      </w:r>
      <w:r w:rsidR="00952754">
        <w:rPr>
          <w:rFonts w:ascii="Times New Roman" w:hAnsi="Times New Roman" w:cs="Times New Roman"/>
          <w:sz w:val="24"/>
          <w:szCs w:val="24"/>
        </w:rPr>
        <w:t>stud</w:t>
      </w:r>
      <w:r w:rsidR="00B925CB">
        <w:rPr>
          <w:rFonts w:ascii="Times New Roman" w:hAnsi="Times New Roman" w:cs="Times New Roman"/>
          <w:sz w:val="24"/>
          <w:szCs w:val="24"/>
        </w:rPr>
        <w:t>y</w:t>
      </w:r>
      <w:r w:rsidR="00952754">
        <w:rPr>
          <w:rFonts w:ascii="Times New Roman" w:hAnsi="Times New Roman" w:cs="Times New Roman"/>
          <w:sz w:val="24"/>
          <w:szCs w:val="24"/>
        </w:rPr>
        <w:t xml:space="preserve"> </w:t>
      </w:r>
      <w:r w:rsidR="00F22281">
        <w:rPr>
          <w:rFonts w:ascii="Times New Roman" w:hAnsi="Times New Roman" w:cs="Times New Roman"/>
          <w:sz w:val="24"/>
          <w:szCs w:val="24"/>
        </w:rPr>
        <w:t>has</w:t>
      </w:r>
      <w:r w:rsidR="00952754">
        <w:rPr>
          <w:rFonts w:ascii="Times New Roman" w:hAnsi="Times New Roman" w:cs="Times New Roman"/>
          <w:sz w:val="24"/>
          <w:szCs w:val="24"/>
        </w:rPr>
        <w:t xml:space="preserve"> </w:t>
      </w:r>
      <w:r w:rsidR="00CF429B">
        <w:rPr>
          <w:rFonts w:ascii="Times New Roman" w:hAnsi="Times New Roman" w:cs="Times New Roman"/>
          <w:sz w:val="24"/>
          <w:szCs w:val="24"/>
        </w:rPr>
        <w:t xml:space="preserve">already </w:t>
      </w:r>
      <w:r w:rsidR="00952754">
        <w:rPr>
          <w:rFonts w:ascii="Times New Roman" w:hAnsi="Times New Roman" w:cs="Times New Roman"/>
          <w:sz w:val="24"/>
          <w:szCs w:val="24"/>
        </w:rPr>
        <w:t>been undertaken on the outcomes achieved for stakeholders from NSBGMs.</w:t>
      </w:r>
      <w:r w:rsidR="00A072BB">
        <w:rPr>
          <w:rStyle w:val="FootnoteReference"/>
          <w:rFonts w:ascii="Times New Roman" w:hAnsi="Times New Roman" w:cs="Times New Roman"/>
          <w:sz w:val="24"/>
          <w:szCs w:val="24"/>
        </w:rPr>
        <w:footnoteReference w:id="31"/>
      </w:r>
      <w:r w:rsidR="00952754">
        <w:rPr>
          <w:rFonts w:ascii="Times New Roman" w:hAnsi="Times New Roman" w:cs="Times New Roman"/>
          <w:sz w:val="24"/>
          <w:szCs w:val="24"/>
        </w:rPr>
        <w:t xml:space="preserve"> </w:t>
      </w:r>
      <w:r w:rsidR="00D605C2">
        <w:rPr>
          <w:rFonts w:ascii="Times New Roman" w:hAnsi="Times New Roman" w:cs="Times New Roman"/>
          <w:sz w:val="24"/>
          <w:szCs w:val="24"/>
        </w:rPr>
        <w:t xml:space="preserve"> </w:t>
      </w:r>
      <w:r w:rsidR="00A072BB">
        <w:rPr>
          <w:rFonts w:ascii="Times New Roman" w:hAnsi="Times New Roman" w:cs="Times New Roman"/>
          <w:sz w:val="24"/>
          <w:szCs w:val="24"/>
        </w:rPr>
        <w:t xml:space="preserve">It </w:t>
      </w:r>
      <w:r w:rsidR="006A6386">
        <w:rPr>
          <w:rFonts w:ascii="Times New Roman" w:hAnsi="Times New Roman" w:cs="Times New Roman"/>
          <w:sz w:val="24"/>
          <w:szCs w:val="24"/>
        </w:rPr>
        <w:t xml:space="preserve">examined </w:t>
      </w:r>
      <w:r w:rsidR="00A072BB">
        <w:rPr>
          <w:rFonts w:ascii="Times New Roman" w:hAnsi="Times New Roman" w:cs="Times New Roman"/>
          <w:sz w:val="24"/>
          <w:szCs w:val="24"/>
        </w:rPr>
        <w:t>the mechanisms used in</w:t>
      </w:r>
      <w:r w:rsidR="00D605C2">
        <w:rPr>
          <w:rFonts w:ascii="Times New Roman" w:hAnsi="Times New Roman" w:cs="Times New Roman"/>
          <w:sz w:val="24"/>
          <w:szCs w:val="24"/>
        </w:rPr>
        <w:t xml:space="preserve"> ten case studies </w:t>
      </w:r>
      <w:r w:rsidR="004258C3">
        <w:rPr>
          <w:rFonts w:ascii="Times New Roman" w:hAnsi="Times New Roman" w:cs="Times New Roman"/>
          <w:sz w:val="24"/>
          <w:szCs w:val="24"/>
        </w:rPr>
        <w:t>of corporate</w:t>
      </w:r>
      <w:r w:rsidR="00A072BB">
        <w:rPr>
          <w:rFonts w:ascii="Times New Roman" w:hAnsi="Times New Roman" w:cs="Times New Roman"/>
          <w:sz w:val="24"/>
          <w:szCs w:val="24"/>
        </w:rPr>
        <w:t>-</w:t>
      </w:r>
      <w:r w:rsidR="004258C3">
        <w:rPr>
          <w:rFonts w:ascii="Times New Roman" w:hAnsi="Times New Roman" w:cs="Times New Roman"/>
          <w:sz w:val="24"/>
          <w:szCs w:val="24"/>
        </w:rPr>
        <w:t xml:space="preserve">community human rights disputes </w:t>
      </w:r>
      <w:r w:rsidR="00D605C2">
        <w:rPr>
          <w:rFonts w:ascii="Times New Roman" w:hAnsi="Times New Roman" w:cs="Times New Roman"/>
          <w:sz w:val="24"/>
          <w:szCs w:val="24"/>
        </w:rPr>
        <w:t>in India and Indonesia</w:t>
      </w:r>
      <w:r w:rsidR="004258C3">
        <w:rPr>
          <w:rFonts w:ascii="Times New Roman" w:hAnsi="Times New Roman" w:cs="Times New Roman"/>
          <w:sz w:val="24"/>
          <w:szCs w:val="24"/>
        </w:rPr>
        <w:t>.</w:t>
      </w:r>
      <w:r w:rsidR="00B354F1">
        <w:rPr>
          <w:rFonts w:ascii="Times New Roman" w:hAnsi="Times New Roman" w:cs="Times New Roman"/>
          <w:sz w:val="24"/>
          <w:szCs w:val="24"/>
        </w:rPr>
        <w:t xml:space="preserve"> </w:t>
      </w:r>
      <w:r w:rsidR="00952754">
        <w:rPr>
          <w:rFonts w:ascii="Times New Roman" w:hAnsi="Times New Roman" w:cs="Times New Roman"/>
          <w:sz w:val="24"/>
          <w:szCs w:val="24"/>
        </w:rPr>
        <w:t>The</w:t>
      </w:r>
      <w:r w:rsidR="000274E4">
        <w:rPr>
          <w:rFonts w:ascii="Times New Roman" w:hAnsi="Times New Roman" w:cs="Times New Roman"/>
          <w:sz w:val="24"/>
          <w:szCs w:val="24"/>
        </w:rPr>
        <w:t xml:space="preserve"> authors</w:t>
      </w:r>
      <w:r w:rsidR="00952754">
        <w:rPr>
          <w:rFonts w:ascii="Times New Roman" w:hAnsi="Times New Roman" w:cs="Times New Roman"/>
          <w:sz w:val="24"/>
          <w:szCs w:val="24"/>
        </w:rPr>
        <w:t xml:space="preserve"> </w:t>
      </w:r>
      <w:proofErr w:type="gramStart"/>
      <w:r w:rsidR="00952754">
        <w:rPr>
          <w:rFonts w:ascii="Times New Roman" w:hAnsi="Times New Roman" w:cs="Times New Roman"/>
          <w:sz w:val="24"/>
          <w:szCs w:val="24"/>
        </w:rPr>
        <w:t>compared and contrasted</w:t>
      </w:r>
      <w:proofErr w:type="gramEnd"/>
      <w:r w:rsidR="00952754">
        <w:rPr>
          <w:rFonts w:ascii="Times New Roman" w:hAnsi="Times New Roman" w:cs="Times New Roman"/>
          <w:sz w:val="24"/>
          <w:szCs w:val="24"/>
        </w:rPr>
        <w:t xml:space="preserve"> </w:t>
      </w:r>
      <w:r w:rsidR="005620CC">
        <w:rPr>
          <w:rFonts w:ascii="Times New Roman" w:hAnsi="Times New Roman" w:cs="Times New Roman"/>
          <w:sz w:val="24"/>
          <w:szCs w:val="24"/>
        </w:rPr>
        <w:t xml:space="preserve">individual cases from </w:t>
      </w:r>
      <w:r w:rsidR="00952754">
        <w:rPr>
          <w:rFonts w:ascii="Times New Roman" w:hAnsi="Times New Roman" w:cs="Times New Roman"/>
          <w:sz w:val="24"/>
          <w:szCs w:val="24"/>
        </w:rPr>
        <w:t xml:space="preserve">across </w:t>
      </w:r>
      <w:r w:rsidR="005620CC">
        <w:rPr>
          <w:rFonts w:ascii="Times New Roman" w:hAnsi="Times New Roman" w:cs="Times New Roman"/>
          <w:sz w:val="24"/>
          <w:szCs w:val="24"/>
        </w:rPr>
        <w:t>various</w:t>
      </w:r>
      <w:r w:rsidR="003744CA">
        <w:rPr>
          <w:rFonts w:ascii="Times New Roman" w:hAnsi="Times New Roman" w:cs="Times New Roman"/>
          <w:sz w:val="24"/>
          <w:szCs w:val="24"/>
        </w:rPr>
        <w:t xml:space="preserve"> mechanisms</w:t>
      </w:r>
      <w:r w:rsidR="005620CC">
        <w:rPr>
          <w:rFonts w:ascii="Times New Roman" w:hAnsi="Times New Roman" w:cs="Times New Roman"/>
          <w:sz w:val="24"/>
          <w:szCs w:val="24"/>
        </w:rPr>
        <w:t xml:space="preserve"> to identify how outcomes for rightsholders differ depending on </w:t>
      </w:r>
      <w:r w:rsidR="00CF429B">
        <w:rPr>
          <w:rFonts w:ascii="Times New Roman" w:hAnsi="Times New Roman" w:cs="Times New Roman"/>
          <w:sz w:val="24"/>
          <w:szCs w:val="24"/>
        </w:rPr>
        <w:t>a variety of factors. Key factors</w:t>
      </w:r>
      <w:r w:rsidR="002D3480">
        <w:rPr>
          <w:rFonts w:ascii="Times New Roman" w:hAnsi="Times New Roman" w:cs="Times New Roman"/>
          <w:sz w:val="24"/>
          <w:szCs w:val="24"/>
        </w:rPr>
        <w:t xml:space="preserve"> include</w:t>
      </w:r>
      <w:r w:rsidR="007B4F2E">
        <w:rPr>
          <w:rFonts w:ascii="Times New Roman" w:hAnsi="Times New Roman" w:cs="Times New Roman"/>
          <w:sz w:val="24"/>
          <w:szCs w:val="24"/>
        </w:rPr>
        <w:t xml:space="preserve"> how the institutions responsible for enacting </w:t>
      </w:r>
      <w:r w:rsidR="003744CA">
        <w:rPr>
          <w:rFonts w:ascii="Times New Roman" w:hAnsi="Times New Roman" w:cs="Times New Roman"/>
          <w:sz w:val="24"/>
          <w:szCs w:val="24"/>
        </w:rPr>
        <w:t xml:space="preserve">the complaint </w:t>
      </w:r>
      <w:r w:rsidR="00E8249D">
        <w:rPr>
          <w:rFonts w:ascii="Times New Roman" w:hAnsi="Times New Roman" w:cs="Times New Roman"/>
          <w:sz w:val="24"/>
          <w:szCs w:val="24"/>
        </w:rPr>
        <w:t>mechanism</w:t>
      </w:r>
      <w:r w:rsidR="000B0703">
        <w:rPr>
          <w:rFonts w:ascii="Times New Roman" w:hAnsi="Times New Roman" w:cs="Times New Roman"/>
          <w:sz w:val="24"/>
          <w:szCs w:val="24"/>
        </w:rPr>
        <w:t xml:space="preserve">s </w:t>
      </w:r>
      <w:r w:rsidR="007B4F2E">
        <w:rPr>
          <w:rFonts w:ascii="Times New Roman" w:hAnsi="Times New Roman" w:cs="Times New Roman"/>
          <w:sz w:val="24"/>
          <w:szCs w:val="24"/>
        </w:rPr>
        <w:t>are</w:t>
      </w:r>
      <w:r w:rsidR="005620CC">
        <w:rPr>
          <w:rFonts w:ascii="Times New Roman" w:hAnsi="Times New Roman" w:cs="Times New Roman"/>
          <w:sz w:val="24"/>
          <w:szCs w:val="24"/>
        </w:rPr>
        <w:t xml:space="preserve"> design</w:t>
      </w:r>
      <w:r w:rsidR="007B4F2E">
        <w:rPr>
          <w:rFonts w:ascii="Times New Roman" w:hAnsi="Times New Roman" w:cs="Times New Roman"/>
          <w:sz w:val="24"/>
          <w:szCs w:val="24"/>
        </w:rPr>
        <w:t>ed</w:t>
      </w:r>
      <w:r w:rsidR="002D3480">
        <w:rPr>
          <w:rFonts w:ascii="Times New Roman" w:hAnsi="Times New Roman" w:cs="Times New Roman"/>
          <w:sz w:val="24"/>
          <w:szCs w:val="24"/>
        </w:rPr>
        <w:t>;</w:t>
      </w:r>
      <w:r w:rsidR="007B4F2E">
        <w:rPr>
          <w:rFonts w:ascii="Times New Roman" w:hAnsi="Times New Roman" w:cs="Times New Roman"/>
          <w:sz w:val="24"/>
          <w:szCs w:val="24"/>
        </w:rPr>
        <w:t xml:space="preserve"> their</w:t>
      </w:r>
      <w:r w:rsidR="002D3480">
        <w:rPr>
          <w:rFonts w:ascii="Times New Roman" w:hAnsi="Times New Roman" w:cs="Times New Roman"/>
          <w:sz w:val="24"/>
          <w:szCs w:val="24"/>
        </w:rPr>
        <w:t xml:space="preserve"> authority and capacity to investigate claims and implement judgments;</w:t>
      </w:r>
      <w:r w:rsidR="005620CC">
        <w:rPr>
          <w:rFonts w:ascii="Times New Roman" w:hAnsi="Times New Roman" w:cs="Times New Roman"/>
          <w:sz w:val="24"/>
          <w:szCs w:val="24"/>
        </w:rPr>
        <w:t xml:space="preserve"> and </w:t>
      </w:r>
      <w:r w:rsidR="002D3480">
        <w:rPr>
          <w:rFonts w:ascii="Times New Roman" w:hAnsi="Times New Roman" w:cs="Times New Roman"/>
          <w:sz w:val="24"/>
          <w:szCs w:val="24"/>
        </w:rPr>
        <w:t>their ability to address</w:t>
      </w:r>
      <w:r w:rsidR="002D3480">
        <w:rPr>
          <w:rFonts w:ascii="Times New Roman" w:hAnsi="Times New Roman" w:cs="Times New Roman"/>
          <w:sz w:val="24"/>
          <w:szCs w:val="24"/>
          <w:lang w:val="en-GB"/>
        </w:rPr>
        <w:t xml:space="preserve"> power imbalances and </w:t>
      </w:r>
      <w:r w:rsidR="002D3480">
        <w:rPr>
          <w:rFonts w:ascii="Times New Roman" w:hAnsi="Times New Roman" w:cs="Times New Roman"/>
          <w:sz w:val="24"/>
          <w:szCs w:val="24"/>
        </w:rPr>
        <w:t xml:space="preserve">empower communities so that </w:t>
      </w:r>
      <w:r w:rsidR="004F127A">
        <w:rPr>
          <w:rFonts w:ascii="Times New Roman" w:hAnsi="Times New Roman" w:cs="Times New Roman"/>
          <w:sz w:val="24"/>
          <w:szCs w:val="24"/>
        </w:rPr>
        <w:t>they can</w:t>
      </w:r>
      <w:r w:rsidR="002D3480">
        <w:rPr>
          <w:rFonts w:ascii="Times New Roman" w:hAnsi="Times New Roman" w:cs="Times New Roman"/>
          <w:sz w:val="24"/>
          <w:szCs w:val="24"/>
        </w:rPr>
        <w:t xml:space="preserve"> influence how complaints processes are framed and the remedies that they </w:t>
      </w:r>
      <w:r w:rsidR="004F127A">
        <w:rPr>
          <w:rFonts w:ascii="Times New Roman" w:hAnsi="Times New Roman" w:cs="Times New Roman"/>
          <w:sz w:val="24"/>
          <w:szCs w:val="24"/>
        </w:rPr>
        <w:t xml:space="preserve">ultimately </w:t>
      </w:r>
      <w:r w:rsidR="002D3480">
        <w:rPr>
          <w:rFonts w:ascii="Times New Roman" w:hAnsi="Times New Roman" w:cs="Times New Roman"/>
          <w:sz w:val="24"/>
          <w:szCs w:val="24"/>
        </w:rPr>
        <w:t>receive</w:t>
      </w:r>
      <w:r w:rsidR="005620CC">
        <w:rPr>
          <w:rFonts w:ascii="Times New Roman" w:hAnsi="Times New Roman" w:cs="Times New Roman"/>
          <w:sz w:val="24"/>
          <w:szCs w:val="24"/>
        </w:rPr>
        <w:t>.</w:t>
      </w:r>
      <w:r w:rsidR="005620CC">
        <w:rPr>
          <w:rStyle w:val="FootnoteReference"/>
          <w:rFonts w:ascii="Times New Roman" w:hAnsi="Times New Roman" w:cs="Times New Roman"/>
          <w:sz w:val="24"/>
          <w:szCs w:val="24"/>
        </w:rPr>
        <w:footnoteReference w:id="32"/>
      </w:r>
      <w:r w:rsidR="004B3B97">
        <w:rPr>
          <w:rFonts w:ascii="Times New Roman" w:hAnsi="Times New Roman" w:cs="Times New Roman"/>
          <w:sz w:val="24"/>
          <w:szCs w:val="24"/>
        </w:rPr>
        <w:t xml:space="preserve"> Th</w:t>
      </w:r>
      <w:r w:rsidR="003744CA">
        <w:rPr>
          <w:rFonts w:ascii="Times New Roman" w:hAnsi="Times New Roman" w:cs="Times New Roman"/>
          <w:sz w:val="24"/>
          <w:szCs w:val="24"/>
        </w:rPr>
        <w:t>is study</w:t>
      </w:r>
      <w:r w:rsidR="004B3B97">
        <w:rPr>
          <w:rFonts w:ascii="Times New Roman" w:hAnsi="Times New Roman" w:cs="Times New Roman"/>
          <w:sz w:val="24"/>
          <w:szCs w:val="24"/>
        </w:rPr>
        <w:t xml:space="preserve"> therefore </w:t>
      </w:r>
      <w:r w:rsidR="003D0957">
        <w:rPr>
          <w:rFonts w:ascii="Times New Roman" w:hAnsi="Times New Roman" w:cs="Times New Roman"/>
          <w:sz w:val="24"/>
          <w:szCs w:val="24"/>
        </w:rPr>
        <w:t>make</w:t>
      </w:r>
      <w:r w:rsidR="003744CA">
        <w:rPr>
          <w:rFonts w:ascii="Times New Roman" w:hAnsi="Times New Roman" w:cs="Times New Roman"/>
          <w:sz w:val="24"/>
          <w:szCs w:val="24"/>
        </w:rPr>
        <w:t>s</w:t>
      </w:r>
      <w:r w:rsidR="003D0957">
        <w:rPr>
          <w:rFonts w:ascii="Times New Roman" w:hAnsi="Times New Roman" w:cs="Times New Roman"/>
          <w:sz w:val="24"/>
          <w:szCs w:val="24"/>
        </w:rPr>
        <w:t xml:space="preserve"> an important contribution in identify</w:t>
      </w:r>
      <w:r w:rsidR="00CB76B4">
        <w:rPr>
          <w:rFonts w:ascii="Times New Roman" w:hAnsi="Times New Roman" w:cs="Times New Roman"/>
          <w:sz w:val="24"/>
          <w:szCs w:val="24"/>
        </w:rPr>
        <w:t>ing a range of factors that can</w:t>
      </w:r>
      <w:r w:rsidR="003D0957">
        <w:rPr>
          <w:rFonts w:ascii="Times New Roman" w:hAnsi="Times New Roman" w:cs="Times New Roman"/>
          <w:sz w:val="24"/>
          <w:szCs w:val="24"/>
        </w:rPr>
        <w:t xml:space="preserve"> </w:t>
      </w:r>
      <w:r w:rsidR="00CB76B4">
        <w:rPr>
          <w:rFonts w:ascii="Times New Roman" w:hAnsi="Times New Roman" w:cs="Times New Roman"/>
          <w:sz w:val="24"/>
          <w:szCs w:val="24"/>
        </w:rPr>
        <w:t xml:space="preserve">influence the ability of </w:t>
      </w:r>
      <w:r w:rsidR="00090420">
        <w:rPr>
          <w:rFonts w:ascii="Times New Roman" w:hAnsi="Times New Roman" w:cs="Times New Roman"/>
          <w:sz w:val="24"/>
          <w:szCs w:val="24"/>
        </w:rPr>
        <w:t>various types of mechanisms</w:t>
      </w:r>
      <w:r w:rsidR="00CB76B4">
        <w:rPr>
          <w:rFonts w:ascii="Times New Roman" w:hAnsi="Times New Roman" w:cs="Times New Roman"/>
          <w:sz w:val="24"/>
          <w:szCs w:val="24"/>
        </w:rPr>
        <w:t xml:space="preserve"> </w:t>
      </w:r>
      <w:r w:rsidR="003D0957">
        <w:rPr>
          <w:rFonts w:ascii="Times New Roman" w:hAnsi="Times New Roman" w:cs="Times New Roman"/>
          <w:sz w:val="24"/>
          <w:szCs w:val="24"/>
        </w:rPr>
        <w:t xml:space="preserve">to </w:t>
      </w:r>
      <w:r w:rsidR="00CB76B4">
        <w:rPr>
          <w:rFonts w:ascii="Times New Roman" w:hAnsi="Times New Roman" w:cs="Times New Roman"/>
          <w:sz w:val="24"/>
          <w:szCs w:val="24"/>
        </w:rPr>
        <w:t xml:space="preserve">produce effective remedies for rightsholders. </w:t>
      </w:r>
      <w:r w:rsidR="001007FB">
        <w:rPr>
          <w:rFonts w:ascii="Times New Roman" w:hAnsi="Times New Roman" w:cs="Times New Roman"/>
          <w:sz w:val="24"/>
          <w:szCs w:val="24"/>
        </w:rPr>
        <w:t xml:space="preserve"> </w:t>
      </w:r>
      <w:r w:rsidR="00A072BB">
        <w:rPr>
          <w:rFonts w:ascii="Times New Roman" w:hAnsi="Times New Roman" w:cs="Times New Roman"/>
          <w:sz w:val="24"/>
          <w:szCs w:val="24"/>
        </w:rPr>
        <w:t xml:space="preserve">A partner institution involved in the study, the Corporate Accountability Coalition, has also prepared in-depth analysis of </w:t>
      </w:r>
      <w:proofErr w:type="gramStart"/>
      <w:r w:rsidR="00A072BB">
        <w:rPr>
          <w:rFonts w:ascii="Times New Roman" w:hAnsi="Times New Roman" w:cs="Times New Roman"/>
          <w:sz w:val="24"/>
          <w:szCs w:val="24"/>
        </w:rPr>
        <w:t>a number of</w:t>
      </w:r>
      <w:proofErr w:type="gramEnd"/>
      <w:r w:rsidR="00A072BB">
        <w:rPr>
          <w:rFonts w:ascii="Times New Roman" w:hAnsi="Times New Roman" w:cs="Times New Roman"/>
          <w:sz w:val="24"/>
          <w:szCs w:val="24"/>
        </w:rPr>
        <w:t xml:space="preserve"> complaint mechanisms.</w:t>
      </w:r>
      <w:r w:rsidR="00A072BB">
        <w:rPr>
          <w:rStyle w:val="FootnoteReference"/>
          <w:rFonts w:ascii="Times New Roman" w:hAnsi="Times New Roman" w:cs="Times New Roman"/>
          <w:sz w:val="24"/>
          <w:szCs w:val="24"/>
        </w:rPr>
        <w:footnoteReference w:id="33"/>
      </w:r>
    </w:p>
    <w:p w14:paraId="069736F7" w14:textId="3722F161" w:rsidR="00BC6018" w:rsidRDefault="00CB76B4"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Our own study takes a different approach. We</w:t>
      </w:r>
      <w:r w:rsidR="004F127A">
        <w:rPr>
          <w:rFonts w:ascii="Times New Roman" w:hAnsi="Times New Roman" w:cs="Times New Roman"/>
          <w:sz w:val="24"/>
          <w:szCs w:val="24"/>
        </w:rPr>
        <w:t xml:space="preserve"> </w:t>
      </w:r>
      <w:r>
        <w:rPr>
          <w:rFonts w:ascii="Times New Roman" w:hAnsi="Times New Roman" w:cs="Times New Roman"/>
          <w:sz w:val="24"/>
          <w:szCs w:val="24"/>
        </w:rPr>
        <w:t>conduct a</w:t>
      </w:r>
      <w:r w:rsidR="004F127A">
        <w:rPr>
          <w:rFonts w:ascii="Times New Roman" w:hAnsi="Times New Roman" w:cs="Times New Roman"/>
          <w:sz w:val="24"/>
          <w:szCs w:val="24"/>
        </w:rPr>
        <w:t xml:space="preserve"> comprehensive investigation into the effectiveness of a sin</w:t>
      </w:r>
      <w:r w:rsidR="004B3B97">
        <w:rPr>
          <w:rFonts w:ascii="Times New Roman" w:hAnsi="Times New Roman" w:cs="Times New Roman"/>
          <w:sz w:val="24"/>
          <w:szCs w:val="24"/>
        </w:rPr>
        <w:t>gle NSBGM,</w:t>
      </w:r>
      <w:r w:rsidR="003433A8">
        <w:rPr>
          <w:rFonts w:ascii="Times New Roman" w:hAnsi="Times New Roman" w:cs="Times New Roman"/>
          <w:sz w:val="24"/>
          <w:szCs w:val="24"/>
        </w:rPr>
        <w:t xml:space="preserve"> </w:t>
      </w:r>
      <w:r w:rsidR="007B7BC4" w:rsidRPr="00E07B7E">
        <w:rPr>
          <w:rFonts w:ascii="Times New Roman" w:hAnsi="Times New Roman" w:cs="Times New Roman"/>
          <w:sz w:val="24"/>
          <w:szCs w:val="24"/>
        </w:rPr>
        <w:t xml:space="preserve">the </w:t>
      </w:r>
      <w:r w:rsidR="001C57E4" w:rsidRPr="00E07B7E">
        <w:rPr>
          <w:rFonts w:ascii="Times New Roman" w:hAnsi="Times New Roman" w:cs="Times New Roman"/>
          <w:sz w:val="24"/>
          <w:szCs w:val="24"/>
        </w:rPr>
        <w:t>complaint</w:t>
      </w:r>
      <w:r w:rsidR="007B7BC4" w:rsidRPr="00E07B7E">
        <w:rPr>
          <w:rFonts w:ascii="Times New Roman" w:hAnsi="Times New Roman" w:cs="Times New Roman"/>
          <w:sz w:val="24"/>
          <w:szCs w:val="24"/>
        </w:rPr>
        <w:t xml:space="preserve"> mechanism of the Roundtable on Sustainable Palm Oil</w:t>
      </w:r>
      <w:r w:rsidR="009E1B9D" w:rsidRPr="00E07B7E">
        <w:rPr>
          <w:rFonts w:ascii="Times New Roman" w:hAnsi="Times New Roman" w:cs="Times New Roman"/>
          <w:sz w:val="24"/>
          <w:szCs w:val="24"/>
        </w:rPr>
        <w:t xml:space="preserve">. </w:t>
      </w:r>
      <w:r w:rsidR="004E4F4C" w:rsidRPr="00E07B7E">
        <w:rPr>
          <w:rFonts w:ascii="Times New Roman" w:hAnsi="Times New Roman" w:cs="Times New Roman"/>
          <w:sz w:val="24"/>
          <w:szCs w:val="24"/>
        </w:rPr>
        <w:t xml:space="preserve">RSPO is a multi-stakeholder initiative which brings together seven types of stakeholders </w:t>
      </w:r>
      <w:r w:rsidR="004B73F1" w:rsidRPr="00E07B7E">
        <w:rPr>
          <w:rFonts w:ascii="Times New Roman" w:hAnsi="Times New Roman" w:cs="Times New Roman"/>
          <w:sz w:val="24"/>
          <w:szCs w:val="24"/>
        </w:rPr>
        <w:t xml:space="preserve">in </w:t>
      </w:r>
      <w:r w:rsidR="004E4F4C" w:rsidRPr="00E07B7E">
        <w:rPr>
          <w:rFonts w:ascii="Times New Roman" w:hAnsi="Times New Roman" w:cs="Times New Roman"/>
          <w:sz w:val="24"/>
          <w:szCs w:val="24"/>
        </w:rPr>
        <w:t>the palm oil industry “to develop and implement global standards for sustainable palm oil</w:t>
      </w:r>
      <w:r w:rsidR="0030172D" w:rsidRPr="00E07B7E">
        <w:rPr>
          <w:rFonts w:ascii="Times New Roman" w:hAnsi="Times New Roman" w:cs="Times New Roman"/>
          <w:sz w:val="24"/>
          <w:szCs w:val="24"/>
        </w:rPr>
        <w:t>.</w:t>
      </w:r>
      <w:r w:rsidR="004E4F4C" w:rsidRPr="00E07B7E">
        <w:rPr>
          <w:rFonts w:ascii="Times New Roman" w:hAnsi="Times New Roman" w:cs="Times New Roman"/>
          <w:sz w:val="24"/>
          <w:szCs w:val="24"/>
        </w:rPr>
        <w:t>”</w:t>
      </w:r>
      <w:r w:rsidR="004E4F4C" w:rsidRPr="00E07B7E">
        <w:rPr>
          <w:rStyle w:val="FootnoteReference"/>
          <w:rFonts w:ascii="Times New Roman" w:hAnsi="Times New Roman" w:cs="Times New Roman"/>
          <w:sz w:val="24"/>
          <w:szCs w:val="24"/>
        </w:rPr>
        <w:footnoteReference w:id="34"/>
      </w:r>
      <w:r w:rsidR="004E4F4C" w:rsidRPr="00E07B7E">
        <w:rPr>
          <w:rFonts w:ascii="Times New Roman" w:hAnsi="Times New Roman" w:cs="Times New Roman"/>
          <w:sz w:val="24"/>
          <w:szCs w:val="24"/>
        </w:rPr>
        <w:t xml:space="preserve"> </w:t>
      </w:r>
      <w:r w:rsidR="001C57E4" w:rsidRPr="00E07B7E">
        <w:rPr>
          <w:rFonts w:ascii="Times New Roman" w:hAnsi="Times New Roman" w:cs="Times New Roman"/>
          <w:sz w:val="24"/>
          <w:szCs w:val="24"/>
        </w:rPr>
        <w:t>We chose the RSPO complaint mechanism as the subject of our study because</w:t>
      </w:r>
      <w:r w:rsidR="00FB5E7B">
        <w:rPr>
          <w:rFonts w:ascii="Times New Roman" w:hAnsi="Times New Roman" w:cs="Times New Roman"/>
          <w:sz w:val="24"/>
          <w:szCs w:val="24"/>
        </w:rPr>
        <w:t>, as is documented below</w:t>
      </w:r>
      <w:r w:rsidR="00364827">
        <w:rPr>
          <w:rFonts w:ascii="Times New Roman" w:hAnsi="Times New Roman" w:cs="Times New Roman"/>
          <w:sz w:val="24"/>
          <w:szCs w:val="24"/>
        </w:rPr>
        <w:t xml:space="preserve"> in </w:t>
      </w:r>
      <w:r w:rsidR="00DA677F">
        <w:rPr>
          <w:rFonts w:ascii="Times New Roman" w:hAnsi="Times New Roman" w:cs="Times New Roman"/>
          <w:sz w:val="24"/>
          <w:szCs w:val="24"/>
        </w:rPr>
        <w:t>s</w:t>
      </w:r>
      <w:r w:rsidR="00364827">
        <w:rPr>
          <w:rFonts w:ascii="Times New Roman" w:hAnsi="Times New Roman" w:cs="Times New Roman"/>
          <w:sz w:val="24"/>
          <w:szCs w:val="24"/>
        </w:rPr>
        <w:t>ection II</w:t>
      </w:r>
      <w:r w:rsidR="000F6D4B">
        <w:rPr>
          <w:rFonts w:ascii="Times New Roman" w:hAnsi="Times New Roman" w:cs="Times New Roman"/>
          <w:sz w:val="24"/>
          <w:szCs w:val="24"/>
        </w:rPr>
        <w:t>I</w:t>
      </w:r>
      <w:r w:rsidR="00FB5E7B">
        <w:rPr>
          <w:rFonts w:ascii="Times New Roman" w:hAnsi="Times New Roman" w:cs="Times New Roman"/>
          <w:sz w:val="24"/>
          <w:szCs w:val="24"/>
        </w:rPr>
        <w:t>,</w:t>
      </w:r>
      <w:r w:rsidR="001C57E4" w:rsidRPr="00E07B7E">
        <w:rPr>
          <w:rFonts w:ascii="Times New Roman" w:hAnsi="Times New Roman" w:cs="Times New Roman"/>
          <w:sz w:val="24"/>
          <w:szCs w:val="24"/>
        </w:rPr>
        <w:t xml:space="preserve"> it </w:t>
      </w:r>
      <w:r w:rsidR="009E1B9D" w:rsidRPr="00E07B7E">
        <w:rPr>
          <w:rFonts w:ascii="Times New Roman" w:hAnsi="Times New Roman" w:cs="Times New Roman"/>
          <w:sz w:val="24"/>
          <w:szCs w:val="24"/>
        </w:rPr>
        <w:t xml:space="preserve">performs </w:t>
      </w:r>
      <w:r w:rsidR="00F306CB" w:rsidRPr="00E07B7E">
        <w:rPr>
          <w:rFonts w:ascii="Times New Roman" w:hAnsi="Times New Roman" w:cs="Times New Roman"/>
          <w:sz w:val="24"/>
          <w:szCs w:val="24"/>
        </w:rPr>
        <w:t xml:space="preserve">particularly </w:t>
      </w:r>
      <w:r w:rsidR="009E1B9D" w:rsidRPr="00E07B7E">
        <w:rPr>
          <w:rFonts w:ascii="Times New Roman" w:hAnsi="Times New Roman" w:cs="Times New Roman"/>
          <w:sz w:val="24"/>
          <w:szCs w:val="24"/>
        </w:rPr>
        <w:t>well when compared to other NSBGMs in terms</w:t>
      </w:r>
      <w:r w:rsidR="006119D0">
        <w:rPr>
          <w:rFonts w:ascii="Times New Roman" w:hAnsi="Times New Roman" w:cs="Times New Roman"/>
          <w:sz w:val="24"/>
          <w:szCs w:val="24"/>
        </w:rPr>
        <w:t xml:space="preserve"> of the UNGPs’ effectiveness criteria</w:t>
      </w:r>
      <w:r w:rsidR="008C296D">
        <w:rPr>
          <w:rFonts w:ascii="Times New Roman" w:hAnsi="Times New Roman" w:cs="Times New Roman"/>
          <w:sz w:val="24"/>
          <w:szCs w:val="24"/>
        </w:rPr>
        <w:t>.</w:t>
      </w:r>
      <w:r w:rsidR="001212BE" w:rsidRPr="00E07B7E">
        <w:rPr>
          <w:rFonts w:ascii="Times New Roman" w:hAnsi="Times New Roman" w:cs="Times New Roman"/>
          <w:sz w:val="24"/>
          <w:szCs w:val="24"/>
        </w:rPr>
        <w:t xml:space="preserve"> </w:t>
      </w:r>
      <w:r w:rsidR="00CF429B">
        <w:rPr>
          <w:rFonts w:ascii="Times New Roman" w:hAnsi="Times New Roman" w:cs="Times New Roman"/>
          <w:sz w:val="24"/>
          <w:szCs w:val="24"/>
        </w:rPr>
        <w:t xml:space="preserve">By undertaking a comprehensive </w:t>
      </w:r>
      <w:r w:rsidR="00CF429B">
        <w:rPr>
          <w:rFonts w:ascii="Times New Roman" w:hAnsi="Times New Roman" w:cs="Times New Roman"/>
          <w:sz w:val="24"/>
          <w:szCs w:val="24"/>
        </w:rPr>
        <w:lastRenderedPageBreak/>
        <w:t>assessment of a single NSBGM</w:t>
      </w:r>
      <w:r w:rsidR="001212BE" w:rsidRPr="00E07B7E">
        <w:rPr>
          <w:rFonts w:ascii="Times New Roman" w:hAnsi="Times New Roman" w:cs="Times New Roman"/>
          <w:sz w:val="24"/>
          <w:szCs w:val="24"/>
        </w:rPr>
        <w:t xml:space="preserve"> with relatively high levels of procedural fairness</w:t>
      </w:r>
      <w:r w:rsidR="009A1BED">
        <w:rPr>
          <w:rFonts w:ascii="Times New Roman" w:hAnsi="Times New Roman" w:cs="Times New Roman"/>
          <w:sz w:val="24"/>
          <w:szCs w:val="24"/>
        </w:rPr>
        <w:t xml:space="preserve"> as defined by the UNGPs</w:t>
      </w:r>
      <w:r w:rsidR="001212BE" w:rsidRPr="00E07B7E">
        <w:rPr>
          <w:rFonts w:ascii="Times New Roman" w:hAnsi="Times New Roman" w:cs="Times New Roman"/>
          <w:sz w:val="24"/>
          <w:szCs w:val="24"/>
        </w:rPr>
        <w:t xml:space="preserve">, </w:t>
      </w:r>
      <w:r w:rsidR="00CF429B">
        <w:rPr>
          <w:rFonts w:ascii="Times New Roman" w:hAnsi="Times New Roman" w:cs="Times New Roman"/>
          <w:sz w:val="24"/>
          <w:szCs w:val="24"/>
        </w:rPr>
        <w:t xml:space="preserve">we </w:t>
      </w:r>
      <w:proofErr w:type="gramStart"/>
      <w:r w:rsidR="00CF429B">
        <w:rPr>
          <w:rFonts w:ascii="Times New Roman" w:hAnsi="Times New Roman" w:cs="Times New Roman"/>
          <w:sz w:val="24"/>
          <w:szCs w:val="24"/>
        </w:rPr>
        <w:t>are able to</w:t>
      </w:r>
      <w:proofErr w:type="gramEnd"/>
      <w:r w:rsidR="00CF429B">
        <w:rPr>
          <w:rFonts w:ascii="Times New Roman" w:hAnsi="Times New Roman" w:cs="Times New Roman"/>
          <w:sz w:val="24"/>
          <w:szCs w:val="24"/>
        </w:rPr>
        <w:t xml:space="preserve"> demonstrate </w:t>
      </w:r>
      <w:r w:rsidR="009A1BED">
        <w:rPr>
          <w:rFonts w:ascii="Times New Roman" w:hAnsi="Times New Roman" w:cs="Times New Roman"/>
          <w:sz w:val="24"/>
          <w:szCs w:val="24"/>
        </w:rPr>
        <w:t xml:space="preserve">how </w:t>
      </w:r>
      <w:r w:rsidR="00FF0551">
        <w:rPr>
          <w:rFonts w:ascii="Times New Roman" w:hAnsi="Times New Roman" w:cs="Times New Roman"/>
          <w:sz w:val="24"/>
          <w:szCs w:val="24"/>
        </w:rPr>
        <w:t>it is still</w:t>
      </w:r>
      <w:r w:rsidR="003610DF">
        <w:rPr>
          <w:rFonts w:ascii="Times New Roman" w:hAnsi="Times New Roman" w:cs="Times New Roman"/>
          <w:sz w:val="24"/>
          <w:szCs w:val="24"/>
        </w:rPr>
        <w:t xml:space="preserve"> </w:t>
      </w:r>
      <w:r w:rsidR="002F2E29">
        <w:rPr>
          <w:rFonts w:ascii="Times New Roman" w:hAnsi="Times New Roman" w:cs="Times New Roman"/>
          <w:sz w:val="24"/>
          <w:szCs w:val="24"/>
        </w:rPr>
        <w:t xml:space="preserve">possible </w:t>
      </w:r>
      <w:r w:rsidR="003610DF">
        <w:rPr>
          <w:rFonts w:ascii="Times New Roman" w:hAnsi="Times New Roman" w:cs="Times New Roman"/>
          <w:sz w:val="24"/>
          <w:szCs w:val="24"/>
        </w:rPr>
        <w:t>for that NSBGM</w:t>
      </w:r>
      <w:r w:rsidR="00FF0551">
        <w:rPr>
          <w:rFonts w:ascii="Times New Roman" w:hAnsi="Times New Roman" w:cs="Times New Roman"/>
          <w:sz w:val="24"/>
          <w:szCs w:val="24"/>
        </w:rPr>
        <w:t xml:space="preserve"> to produce poor</w:t>
      </w:r>
      <w:r w:rsidR="009A1BED">
        <w:rPr>
          <w:rFonts w:ascii="Times New Roman" w:hAnsi="Times New Roman" w:cs="Times New Roman"/>
          <w:sz w:val="24"/>
          <w:szCs w:val="24"/>
        </w:rPr>
        <w:t xml:space="preserve"> </w:t>
      </w:r>
      <w:r w:rsidR="00CF429B">
        <w:rPr>
          <w:rFonts w:ascii="Times New Roman" w:hAnsi="Times New Roman" w:cs="Times New Roman"/>
          <w:sz w:val="24"/>
          <w:szCs w:val="24"/>
        </w:rPr>
        <w:t>out</w:t>
      </w:r>
      <w:r w:rsidR="00FF0551">
        <w:rPr>
          <w:rFonts w:ascii="Times New Roman" w:hAnsi="Times New Roman" w:cs="Times New Roman"/>
          <w:sz w:val="24"/>
          <w:szCs w:val="24"/>
        </w:rPr>
        <w:t>comes</w:t>
      </w:r>
      <w:r w:rsidR="00B37B65">
        <w:rPr>
          <w:rFonts w:ascii="Times New Roman" w:hAnsi="Times New Roman" w:cs="Times New Roman"/>
          <w:sz w:val="24"/>
          <w:szCs w:val="24"/>
        </w:rPr>
        <w:t xml:space="preserve"> </w:t>
      </w:r>
      <w:r w:rsidR="009A1BED">
        <w:rPr>
          <w:rFonts w:ascii="Times New Roman" w:hAnsi="Times New Roman" w:cs="Times New Roman"/>
          <w:sz w:val="24"/>
          <w:szCs w:val="24"/>
        </w:rPr>
        <w:t xml:space="preserve">for </w:t>
      </w:r>
      <w:r w:rsidR="00B37B65">
        <w:rPr>
          <w:rFonts w:ascii="Times New Roman" w:hAnsi="Times New Roman" w:cs="Times New Roman"/>
          <w:sz w:val="24"/>
          <w:szCs w:val="24"/>
        </w:rPr>
        <w:t>rightsholders</w:t>
      </w:r>
      <w:r w:rsidR="003610DF">
        <w:rPr>
          <w:rFonts w:ascii="Times New Roman" w:hAnsi="Times New Roman" w:cs="Times New Roman"/>
          <w:sz w:val="24"/>
          <w:szCs w:val="24"/>
        </w:rPr>
        <w:t xml:space="preserve">. </w:t>
      </w:r>
      <w:r w:rsidR="00B37B65">
        <w:rPr>
          <w:rFonts w:ascii="Times New Roman" w:hAnsi="Times New Roman" w:cs="Times New Roman"/>
          <w:sz w:val="24"/>
          <w:szCs w:val="24"/>
        </w:rPr>
        <w:t>This then allows us</w:t>
      </w:r>
      <w:r w:rsidR="00CF429B">
        <w:rPr>
          <w:rFonts w:ascii="Times New Roman" w:hAnsi="Times New Roman" w:cs="Times New Roman"/>
          <w:sz w:val="24"/>
          <w:szCs w:val="24"/>
        </w:rPr>
        <w:t xml:space="preserve"> to</w:t>
      </w:r>
      <w:r w:rsidR="001212BE" w:rsidRPr="00E07B7E">
        <w:rPr>
          <w:rFonts w:ascii="Times New Roman" w:hAnsi="Times New Roman" w:cs="Times New Roman"/>
          <w:sz w:val="24"/>
          <w:szCs w:val="24"/>
        </w:rPr>
        <w:t xml:space="preserve"> raise broader que</w:t>
      </w:r>
      <w:r w:rsidR="00825D95" w:rsidRPr="00E07B7E">
        <w:rPr>
          <w:rFonts w:ascii="Times New Roman" w:hAnsi="Times New Roman" w:cs="Times New Roman"/>
          <w:sz w:val="24"/>
          <w:szCs w:val="24"/>
        </w:rPr>
        <w:t xml:space="preserve">stions </w:t>
      </w:r>
      <w:r w:rsidR="00CF429B">
        <w:rPr>
          <w:rFonts w:ascii="Times New Roman" w:hAnsi="Times New Roman" w:cs="Times New Roman"/>
          <w:sz w:val="24"/>
          <w:szCs w:val="24"/>
        </w:rPr>
        <w:t>about</w:t>
      </w:r>
      <w:r w:rsidR="00825D95" w:rsidRPr="00E07B7E">
        <w:rPr>
          <w:rFonts w:ascii="Times New Roman" w:hAnsi="Times New Roman" w:cs="Times New Roman"/>
          <w:sz w:val="24"/>
          <w:szCs w:val="24"/>
        </w:rPr>
        <w:t xml:space="preserve"> how we </w:t>
      </w:r>
      <w:r w:rsidR="00B37B65">
        <w:rPr>
          <w:rFonts w:ascii="Times New Roman" w:hAnsi="Times New Roman" w:cs="Times New Roman"/>
          <w:sz w:val="24"/>
          <w:szCs w:val="24"/>
        </w:rPr>
        <w:t xml:space="preserve">should </w:t>
      </w:r>
      <w:r w:rsidR="00825D95" w:rsidRPr="00E07B7E">
        <w:rPr>
          <w:rFonts w:ascii="Times New Roman" w:hAnsi="Times New Roman" w:cs="Times New Roman"/>
          <w:sz w:val="24"/>
          <w:szCs w:val="24"/>
        </w:rPr>
        <w:t>assess</w:t>
      </w:r>
      <w:r w:rsidR="001212BE" w:rsidRPr="00E07B7E">
        <w:rPr>
          <w:rFonts w:ascii="Times New Roman" w:hAnsi="Times New Roman" w:cs="Times New Roman"/>
          <w:sz w:val="24"/>
          <w:szCs w:val="24"/>
        </w:rPr>
        <w:t xml:space="preserve"> the effectivenes</w:t>
      </w:r>
      <w:r w:rsidR="00AF5AF3" w:rsidRPr="00E07B7E">
        <w:rPr>
          <w:rFonts w:ascii="Times New Roman" w:hAnsi="Times New Roman" w:cs="Times New Roman"/>
          <w:sz w:val="24"/>
          <w:szCs w:val="24"/>
        </w:rPr>
        <w:t>s of NSBGMs more generally</w:t>
      </w:r>
      <w:r w:rsidR="001212BE" w:rsidRPr="00E07B7E">
        <w:rPr>
          <w:rFonts w:ascii="Times New Roman" w:hAnsi="Times New Roman" w:cs="Times New Roman"/>
          <w:sz w:val="24"/>
          <w:szCs w:val="24"/>
        </w:rPr>
        <w:t>.</w:t>
      </w:r>
      <w:r w:rsidR="00CF429B">
        <w:rPr>
          <w:rFonts w:ascii="Times New Roman" w:hAnsi="Times New Roman" w:cs="Times New Roman"/>
          <w:sz w:val="24"/>
          <w:szCs w:val="24"/>
        </w:rPr>
        <w:t xml:space="preserve"> First, we explain why th</w:t>
      </w:r>
      <w:r w:rsidR="00095407">
        <w:rPr>
          <w:rFonts w:ascii="Times New Roman" w:hAnsi="Times New Roman" w:cs="Times New Roman"/>
          <w:sz w:val="24"/>
          <w:szCs w:val="24"/>
        </w:rPr>
        <w:t>e RSPO</w:t>
      </w:r>
      <w:r w:rsidR="00CF429B">
        <w:rPr>
          <w:rFonts w:ascii="Times New Roman" w:hAnsi="Times New Roman" w:cs="Times New Roman"/>
          <w:sz w:val="24"/>
          <w:szCs w:val="24"/>
        </w:rPr>
        <w:t xml:space="preserve"> </w:t>
      </w:r>
      <w:r w:rsidR="00095407">
        <w:rPr>
          <w:rFonts w:ascii="Times New Roman" w:hAnsi="Times New Roman" w:cs="Times New Roman"/>
          <w:sz w:val="24"/>
          <w:szCs w:val="24"/>
        </w:rPr>
        <w:t>complaints mechanism is a worthy choice for our study.</w:t>
      </w:r>
    </w:p>
    <w:p w14:paraId="2B5D76A6" w14:textId="34783DDB" w:rsidR="00913556" w:rsidRPr="001659DC" w:rsidRDefault="00913556" w:rsidP="001659DC">
      <w:pPr>
        <w:pStyle w:val="ListParagraph"/>
        <w:numPr>
          <w:ilvl w:val="0"/>
          <w:numId w:val="1"/>
        </w:numPr>
        <w:spacing w:line="360" w:lineRule="auto"/>
        <w:jc w:val="center"/>
        <w:rPr>
          <w:rFonts w:ascii="Times New Roman" w:hAnsi="Times New Roman" w:cs="Times New Roman"/>
          <w:smallCaps/>
          <w:sz w:val="28"/>
          <w:szCs w:val="28"/>
        </w:rPr>
      </w:pPr>
      <w:r w:rsidRPr="001659DC">
        <w:rPr>
          <w:rFonts w:ascii="Times New Roman" w:hAnsi="Times New Roman" w:cs="Times New Roman"/>
          <w:smallCaps/>
          <w:sz w:val="28"/>
          <w:szCs w:val="28"/>
        </w:rPr>
        <w:t>The RSPO and its Complaint Mechanism</w:t>
      </w:r>
    </w:p>
    <w:p w14:paraId="2080E6DC" w14:textId="4188E3A7"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Palm oil is an increasingly important and controversial part of the world agricultural system. In recent decades it has become the </w:t>
      </w:r>
      <w:r w:rsidR="00B05703">
        <w:rPr>
          <w:rFonts w:ascii="Times New Roman" w:hAnsi="Times New Roman" w:cs="Times New Roman"/>
          <w:sz w:val="24"/>
          <w:szCs w:val="24"/>
        </w:rPr>
        <w:t>most sold</w:t>
      </w:r>
      <w:r w:rsidRPr="00E07B7E">
        <w:rPr>
          <w:rFonts w:ascii="Times New Roman" w:hAnsi="Times New Roman" w:cs="Times New Roman"/>
          <w:sz w:val="24"/>
          <w:szCs w:val="24"/>
        </w:rPr>
        <w:t xml:space="preserve"> plant-based oil and is used in everything from snack foods, to cosmetics, to industrial lubricants to biofuels. It has been estimated that fully fifty percent of products in a typical North American or UK grocery store contain palm oil.</w:t>
      </w:r>
      <w:r w:rsidRPr="00E07B7E">
        <w:rPr>
          <w:rStyle w:val="FootnoteReference"/>
          <w:rFonts w:ascii="Times New Roman" w:hAnsi="Times New Roman" w:cs="Times New Roman"/>
          <w:sz w:val="24"/>
          <w:szCs w:val="24"/>
        </w:rPr>
        <w:footnoteReference w:id="35"/>
      </w:r>
      <w:r w:rsidRPr="00E07B7E">
        <w:rPr>
          <w:rFonts w:ascii="Times New Roman" w:hAnsi="Times New Roman" w:cs="Times New Roman"/>
          <w:sz w:val="24"/>
          <w:szCs w:val="24"/>
        </w:rPr>
        <w:t xml:space="preserve">  Palm oil grows in the tropics </w:t>
      </w:r>
      <w:r w:rsidR="00A227D0" w:rsidRPr="00E07B7E">
        <w:rPr>
          <w:rFonts w:ascii="Times New Roman" w:hAnsi="Times New Roman" w:cs="Times New Roman"/>
          <w:sz w:val="24"/>
          <w:szCs w:val="24"/>
        </w:rPr>
        <w:t xml:space="preserve">primarily </w:t>
      </w:r>
      <w:r w:rsidRPr="00E07B7E">
        <w:rPr>
          <w:rFonts w:ascii="Times New Roman" w:hAnsi="Times New Roman" w:cs="Times New Roman"/>
          <w:sz w:val="24"/>
          <w:szCs w:val="24"/>
        </w:rPr>
        <w:t xml:space="preserve">within ten degrees of the equator. When well-managed, it is extremely productive per hectare planted, producing </w:t>
      </w:r>
      <w:r w:rsidR="00CA24C1" w:rsidRPr="00E07B7E">
        <w:rPr>
          <w:rFonts w:ascii="Times New Roman" w:hAnsi="Times New Roman" w:cs="Times New Roman"/>
          <w:sz w:val="24"/>
          <w:szCs w:val="24"/>
        </w:rPr>
        <w:t>six</w:t>
      </w:r>
      <w:r w:rsidRPr="00E07B7E">
        <w:rPr>
          <w:rFonts w:ascii="Times New Roman" w:hAnsi="Times New Roman" w:cs="Times New Roman"/>
          <w:sz w:val="24"/>
          <w:szCs w:val="24"/>
        </w:rPr>
        <w:t xml:space="preserve"> to ten times the quantity of other oil crops</w:t>
      </w:r>
      <w:r w:rsidR="00CA24C1" w:rsidRPr="00E07B7E">
        <w:rPr>
          <w:rFonts w:ascii="Times New Roman" w:hAnsi="Times New Roman" w:cs="Times New Roman"/>
          <w:sz w:val="24"/>
          <w:szCs w:val="24"/>
        </w:rPr>
        <w:t>.</w:t>
      </w:r>
      <w:r w:rsidR="00CA24C1" w:rsidRPr="00E07B7E">
        <w:rPr>
          <w:rStyle w:val="FootnoteReference"/>
          <w:rFonts w:ascii="Times New Roman" w:hAnsi="Times New Roman" w:cs="Times New Roman"/>
          <w:sz w:val="24"/>
          <w:szCs w:val="24"/>
        </w:rPr>
        <w:footnoteReference w:id="36"/>
      </w:r>
      <w:r w:rsidRPr="00E07B7E">
        <w:rPr>
          <w:rFonts w:ascii="Times New Roman" w:hAnsi="Times New Roman" w:cs="Times New Roman"/>
          <w:sz w:val="24"/>
          <w:szCs w:val="24"/>
        </w:rPr>
        <w:t xml:space="preserve"> It has grown to cover well over twenty million hectares, m</w:t>
      </w:r>
      <w:r w:rsidR="007C6DE8">
        <w:rPr>
          <w:rFonts w:ascii="Times New Roman" w:hAnsi="Times New Roman" w:cs="Times New Roman"/>
          <w:sz w:val="24"/>
          <w:szCs w:val="24"/>
        </w:rPr>
        <w:t>uch</w:t>
      </w:r>
      <w:r w:rsidRPr="00E07B7E">
        <w:rPr>
          <w:rFonts w:ascii="Times New Roman" w:hAnsi="Times New Roman" w:cs="Times New Roman"/>
          <w:sz w:val="24"/>
          <w:szCs w:val="24"/>
        </w:rPr>
        <w:t xml:space="preserve"> of the expansion occurring in tropical forests. Indonesia and Malaysia produce about two thirds of world supply. There are twelve million hectares planted in Indonesia alone, up from less than one half million hectares thirty years ago</w:t>
      </w:r>
      <w:r w:rsidR="00C8026C" w:rsidRPr="00E07B7E">
        <w:rPr>
          <w:rFonts w:ascii="Times New Roman" w:hAnsi="Times New Roman" w:cs="Times New Roman"/>
          <w:sz w:val="24"/>
          <w:szCs w:val="24"/>
        </w:rPr>
        <w:t>.</w:t>
      </w:r>
      <w:r w:rsidRPr="00E07B7E">
        <w:rPr>
          <w:rStyle w:val="FootnoteReference"/>
          <w:rFonts w:ascii="Times New Roman" w:hAnsi="Times New Roman" w:cs="Times New Roman"/>
          <w:sz w:val="24"/>
          <w:szCs w:val="24"/>
        </w:rPr>
        <w:footnoteReference w:id="37"/>
      </w:r>
      <w:r w:rsidRPr="00E07B7E">
        <w:rPr>
          <w:rFonts w:ascii="Times New Roman" w:hAnsi="Times New Roman" w:cs="Times New Roman"/>
          <w:sz w:val="24"/>
          <w:szCs w:val="24"/>
        </w:rPr>
        <w:t xml:space="preserve"> There are also significant productive regions in West Africa and South America. </w:t>
      </w:r>
    </w:p>
    <w:p w14:paraId="64258D84" w14:textId="36831920"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RSPO was founded in 2004 and sought to address the severe criticism palm oil received. This criticism has progressively increased. There are substantiated claims that palm oil production has decimated rainforests, destroyed wildlife habitat, </w:t>
      </w:r>
      <w:r w:rsidR="00717B46">
        <w:rPr>
          <w:rFonts w:ascii="Times New Roman" w:hAnsi="Times New Roman" w:cs="Times New Roman"/>
          <w:sz w:val="24"/>
          <w:szCs w:val="24"/>
        </w:rPr>
        <w:t>displaced</w:t>
      </w:r>
      <w:r w:rsidR="00717B46" w:rsidRPr="00E07B7E">
        <w:rPr>
          <w:rFonts w:ascii="Times New Roman" w:hAnsi="Times New Roman" w:cs="Times New Roman"/>
          <w:sz w:val="24"/>
          <w:szCs w:val="24"/>
        </w:rPr>
        <w:t xml:space="preserve"> </w:t>
      </w:r>
      <w:r w:rsidRPr="00E07B7E">
        <w:rPr>
          <w:rFonts w:ascii="Times New Roman" w:hAnsi="Times New Roman" w:cs="Times New Roman"/>
          <w:sz w:val="24"/>
          <w:szCs w:val="24"/>
        </w:rPr>
        <w:t>communit</w:t>
      </w:r>
      <w:r w:rsidR="00717B46">
        <w:rPr>
          <w:rFonts w:ascii="Times New Roman" w:hAnsi="Times New Roman" w:cs="Times New Roman"/>
          <w:sz w:val="24"/>
          <w:szCs w:val="24"/>
        </w:rPr>
        <w:t>ies</w:t>
      </w:r>
      <w:r w:rsidRPr="00E07B7E">
        <w:rPr>
          <w:rFonts w:ascii="Times New Roman" w:hAnsi="Times New Roman" w:cs="Times New Roman"/>
          <w:sz w:val="24"/>
          <w:szCs w:val="24"/>
        </w:rPr>
        <w:t xml:space="preserve">, caused widespread air and water pollution, resulted in violations of multiple labor rights, dismantled indigenous groups, </w:t>
      </w:r>
      <w:r w:rsidRPr="00E07B7E">
        <w:rPr>
          <w:rFonts w:ascii="Times New Roman" w:hAnsi="Times New Roman" w:cs="Times New Roman"/>
          <w:sz w:val="24"/>
          <w:szCs w:val="24"/>
        </w:rPr>
        <w:lastRenderedPageBreak/>
        <w:t>unleashed massive carbon emissions including on peat lands, led to localized extinctions of orangutans, and many others</w:t>
      </w:r>
      <w:r w:rsidR="00C8026C" w:rsidRPr="00E07B7E">
        <w:rPr>
          <w:rFonts w:ascii="Times New Roman" w:hAnsi="Times New Roman" w:cs="Times New Roman"/>
          <w:sz w:val="24"/>
          <w:szCs w:val="24"/>
        </w:rPr>
        <w:t>.</w:t>
      </w:r>
      <w:r w:rsidRPr="00E07B7E">
        <w:rPr>
          <w:rStyle w:val="FootnoteReference"/>
          <w:rFonts w:ascii="Times New Roman" w:hAnsi="Times New Roman" w:cs="Times New Roman"/>
          <w:sz w:val="24"/>
          <w:szCs w:val="24"/>
        </w:rPr>
        <w:footnoteReference w:id="38"/>
      </w:r>
      <w:r w:rsidRPr="00E07B7E">
        <w:rPr>
          <w:rFonts w:ascii="Times New Roman" w:hAnsi="Times New Roman" w:cs="Times New Roman"/>
          <w:sz w:val="24"/>
          <w:szCs w:val="24"/>
        </w:rPr>
        <w:t xml:space="preserve"> There continue to be widespread efforts to ban palm oil in products and </w:t>
      </w:r>
      <w:r w:rsidR="00C8026C" w:rsidRPr="00E07B7E">
        <w:rPr>
          <w:rFonts w:ascii="Times New Roman" w:hAnsi="Times New Roman" w:cs="Times New Roman"/>
          <w:sz w:val="24"/>
          <w:szCs w:val="24"/>
        </w:rPr>
        <w:t>retail outlets</w:t>
      </w:r>
      <w:r w:rsidRPr="00E07B7E">
        <w:rPr>
          <w:rFonts w:ascii="Times New Roman" w:hAnsi="Times New Roman" w:cs="Times New Roman"/>
          <w:sz w:val="24"/>
          <w:szCs w:val="24"/>
        </w:rPr>
        <w:t>.</w:t>
      </w:r>
      <w:r w:rsidR="00191988">
        <w:rPr>
          <w:rStyle w:val="FootnoteReference"/>
          <w:rFonts w:ascii="Times New Roman" w:hAnsi="Times New Roman" w:cs="Times New Roman"/>
          <w:sz w:val="24"/>
          <w:szCs w:val="24"/>
        </w:rPr>
        <w:footnoteReference w:id="39"/>
      </w:r>
      <w:r w:rsidRPr="00E07B7E">
        <w:rPr>
          <w:rFonts w:ascii="Times New Roman" w:hAnsi="Times New Roman" w:cs="Times New Roman"/>
          <w:sz w:val="24"/>
          <w:szCs w:val="24"/>
        </w:rPr>
        <w:t xml:space="preserve"> It is among the most vilified agricultural products in the world</w:t>
      </w:r>
      <w:r w:rsidR="00C8026C" w:rsidRPr="00E07B7E">
        <w:rPr>
          <w:rFonts w:ascii="Times New Roman" w:hAnsi="Times New Roman" w:cs="Times New Roman"/>
          <w:sz w:val="24"/>
          <w:szCs w:val="24"/>
        </w:rPr>
        <w:t>.</w:t>
      </w:r>
      <w:r w:rsidRPr="00E07B7E">
        <w:rPr>
          <w:rStyle w:val="FootnoteReference"/>
          <w:rFonts w:ascii="Times New Roman" w:hAnsi="Times New Roman" w:cs="Times New Roman"/>
          <w:sz w:val="24"/>
          <w:szCs w:val="24"/>
        </w:rPr>
        <w:footnoteReference w:id="40"/>
      </w:r>
      <w:r w:rsidRPr="00E07B7E">
        <w:rPr>
          <w:rFonts w:ascii="Times New Roman" w:hAnsi="Times New Roman" w:cs="Times New Roman"/>
          <w:sz w:val="24"/>
          <w:szCs w:val="24"/>
        </w:rPr>
        <w:t xml:space="preserve"> </w:t>
      </w:r>
    </w:p>
    <w:p w14:paraId="69647FCE" w14:textId="02DED3EA"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The RSPO Standards have evolved to include, at their core, the protection of what it calls “High Conservation Value” forests (such as tropical rain forests), endangered species habitat, the rights of communities and indigenous peoples to consent to the use of land for plantations, and labor rights</w:t>
      </w:r>
      <w:r w:rsidR="00C8026C" w:rsidRPr="00E07B7E">
        <w:rPr>
          <w:rFonts w:ascii="Times New Roman" w:hAnsi="Times New Roman" w:cs="Times New Roman"/>
          <w:sz w:val="24"/>
          <w:szCs w:val="24"/>
        </w:rPr>
        <w:t>.</w:t>
      </w:r>
      <w:r w:rsidR="005D586A" w:rsidRPr="00E07B7E">
        <w:rPr>
          <w:rStyle w:val="FootnoteReference"/>
          <w:rFonts w:ascii="Times New Roman" w:hAnsi="Times New Roman" w:cs="Times New Roman"/>
          <w:sz w:val="24"/>
          <w:szCs w:val="24"/>
        </w:rPr>
        <w:footnoteReference w:id="41"/>
      </w:r>
      <w:r w:rsidRPr="00E07B7E">
        <w:rPr>
          <w:rFonts w:ascii="Times New Roman" w:hAnsi="Times New Roman" w:cs="Times New Roman"/>
          <w:sz w:val="24"/>
          <w:szCs w:val="24"/>
        </w:rPr>
        <w:t xml:space="preserve"> </w:t>
      </w:r>
      <w:r w:rsidR="005D586A" w:rsidRPr="00E07B7E">
        <w:rPr>
          <w:rFonts w:ascii="Times New Roman" w:hAnsi="Times New Roman" w:cs="Times New Roman"/>
          <w:sz w:val="24"/>
          <w:szCs w:val="24"/>
        </w:rPr>
        <w:t>Among the</w:t>
      </w:r>
      <w:r w:rsidRPr="00E07B7E">
        <w:rPr>
          <w:rFonts w:ascii="Times New Roman" w:hAnsi="Times New Roman" w:cs="Times New Roman"/>
          <w:sz w:val="24"/>
          <w:szCs w:val="24"/>
        </w:rPr>
        <w:t xml:space="preserve"> organization</w:t>
      </w:r>
      <w:r w:rsidR="005D586A" w:rsidRPr="00E07B7E">
        <w:rPr>
          <w:rFonts w:ascii="Times New Roman" w:hAnsi="Times New Roman" w:cs="Times New Roman"/>
          <w:sz w:val="24"/>
          <w:szCs w:val="24"/>
        </w:rPr>
        <w:t>s</w:t>
      </w:r>
      <w:r w:rsidR="004859E1" w:rsidRPr="00E07B7E">
        <w:rPr>
          <w:rFonts w:ascii="Times New Roman" w:hAnsi="Times New Roman" w:cs="Times New Roman"/>
          <w:sz w:val="24"/>
          <w:szCs w:val="24"/>
        </w:rPr>
        <w:t>’</w:t>
      </w:r>
      <w:r w:rsidRPr="00E07B7E">
        <w:rPr>
          <w:rFonts w:ascii="Times New Roman" w:hAnsi="Times New Roman" w:cs="Times New Roman"/>
          <w:sz w:val="24"/>
          <w:szCs w:val="24"/>
        </w:rPr>
        <w:t xml:space="preserve"> founde</w:t>
      </w:r>
      <w:r w:rsidR="005D586A" w:rsidRPr="00E07B7E">
        <w:rPr>
          <w:rFonts w:ascii="Times New Roman" w:hAnsi="Times New Roman" w:cs="Times New Roman"/>
          <w:sz w:val="24"/>
          <w:szCs w:val="24"/>
        </w:rPr>
        <w:t>rs are</w:t>
      </w:r>
      <w:r w:rsidRPr="00E07B7E">
        <w:rPr>
          <w:rFonts w:ascii="Times New Roman" w:hAnsi="Times New Roman" w:cs="Times New Roman"/>
          <w:sz w:val="24"/>
          <w:szCs w:val="24"/>
        </w:rPr>
        <w:t xml:space="preserve"> large, mostly Malaysian</w:t>
      </w:r>
      <w:r w:rsidR="00737D94">
        <w:rPr>
          <w:rFonts w:ascii="Times New Roman" w:hAnsi="Times New Roman" w:cs="Times New Roman"/>
          <w:sz w:val="24"/>
          <w:szCs w:val="24"/>
        </w:rPr>
        <w:t>,</w:t>
      </w:r>
      <w:r w:rsidRPr="00E07B7E">
        <w:rPr>
          <w:rFonts w:ascii="Times New Roman" w:hAnsi="Times New Roman" w:cs="Times New Roman"/>
          <w:sz w:val="24"/>
          <w:szCs w:val="24"/>
        </w:rPr>
        <w:t xml:space="preserve"> companies, several of which are parts of enormous corporate conglomerates.</w:t>
      </w:r>
      <w:r w:rsidR="005D586A" w:rsidRPr="00E07B7E">
        <w:rPr>
          <w:rFonts w:ascii="Times New Roman" w:hAnsi="Times New Roman" w:cs="Times New Roman"/>
          <w:sz w:val="24"/>
          <w:szCs w:val="24"/>
        </w:rPr>
        <w:t xml:space="preserve"> They remain central to the organization.</w:t>
      </w:r>
      <w:r w:rsidRPr="00E07B7E">
        <w:rPr>
          <w:rFonts w:ascii="Times New Roman" w:hAnsi="Times New Roman" w:cs="Times New Roman"/>
          <w:sz w:val="24"/>
          <w:szCs w:val="24"/>
        </w:rPr>
        <w:t xml:space="preserve"> </w:t>
      </w:r>
      <w:r w:rsidR="005D586A" w:rsidRPr="00E07B7E">
        <w:rPr>
          <w:rFonts w:ascii="Times New Roman" w:hAnsi="Times New Roman" w:cs="Times New Roman"/>
          <w:sz w:val="24"/>
          <w:szCs w:val="24"/>
        </w:rPr>
        <w:t>However, i</w:t>
      </w:r>
      <w:r w:rsidRPr="00E07B7E">
        <w:rPr>
          <w:rFonts w:ascii="Times New Roman" w:hAnsi="Times New Roman" w:cs="Times New Roman"/>
          <w:sz w:val="24"/>
          <w:szCs w:val="24"/>
        </w:rPr>
        <w:t xml:space="preserve">t is a multi-stakeholder initiative with a stated vision of being a “roundtable” for diverse interests. RSPO’s membership includes representatives from “oil palm growers, palm oil processors or traders, consumer goods manufacturers, retailers, banks and </w:t>
      </w:r>
      <w:r w:rsidRPr="00E07B7E">
        <w:rPr>
          <w:rFonts w:ascii="Times New Roman" w:hAnsi="Times New Roman" w:cs="Times New Roman"/>
          <w:sz w:val="24"/>
          <w:szCs w:val="24"/>
        </w:rPr>
        <w:lastRenderedPageBreak/>
        <w:t>investors, environmental or nature conservation NGOs and social or developmental NGOs.”</w:t>
      </w:r>
      <w:r w:rsidRPr="00E07B7E">
        <w:rPr>
          <w:rStyle w:val="FootnoteReference"/>
          <w:rFonts w:ascii="Times New Roman" w:hAnsi="Times New Roman" w:cs="Times New Roman"/>
          <w:sz w:val="24"/>
          <w:szCs w:val="24"/>
        </w:rPr>
        <w:footnoteReference w:id="42"/>
      </w:r>
      <w:r w:rsidRPr="00E07B7E">
        <w:rPr>
          <w:rFonts w:ascii="Times New Roman" w:hAnsi="Times New Roman" w:cs="Times New Roman"/>
          <w:sz w:val="24"/>
          <w:szCs w:val="24"/>
        </w:rPr>
        <w:t xml:space="preserve"> It has over four thousand members and claims that 19% of the world’s palm oil is RSPO certified</w:t>
      </w:r>
      <w:r w:rsidR="00C8026C" w:rsidRPr="00E07B7E">
        <w:rPr>
          <w:rFonts w:ascii="Times New Roman" w:hAnsi="Times New Roman" w:cs="Times New Roman"/>
          <w:sz w:val="24"/>
          <w:szCs w:val="24"/>
        </w:rPr>
        <w:t>.</w:t>
      </w:r>
      <w:r w:rsidRPr="00E07B7E">
        <w:rPr>
          <w:rStyle w:val="FootnoteReference"/>
          <w:rFonts w:ascii="Times New Roman" w:hAnsi="Times New Roman" w:cs="Times New Roman"/>
          <w:sz w:val="24"/>
          <w:szCs w:val="24"/>
        </w:rPr>
        <w:footnoteReference w:id="43"/>
      </w:r>
      <w:r w:rsidR="00CA24C1" w:rsidRPr="00E07B7E">
        <w:rPr>
          <w:rStyle w:val="FootnoteReference"/>
          <w:rFonts w:ascii="Times New Roman" w:hAnsi="Times New Roman" w:cs="Times New Roman"/>
          <w:sz w:val="24"/>
          <w:szCs w:val="24"/>
          <w:vertAlign w:val="baseline"/>
        </w:rPr>
        <w:t xml:space="preserve"> </w:t>
      </w:r>
      <w:r w:rsidR="00A72369" w:rsidRPr="00E07B7E">
        <w:rPr>
          <w:rFonts w:ascii="Times New Roman" w:hAnsi="Times New Roman" w:cs="Times New Roman"/>
          <w:sz w:val="24"/>
          <w:szCs w:val="24"/>
        </w:rPr>
        <w:t xml:space="preserve"> </w:t>
      </w:r>
      <w:r w:rsidR="00CA24C1" w:rsidRPr="00E07B7E">
        <w:rPr>
          <w:rStyle w:val="FootnoteReference"/>
          <w:rFonts w:ascii="Times New Roman" w:hAnsi="Times New Roman" w:cs="Times New Roman"/>
          <w:sz w:val="24"/>
          <w:szCs w:val="24"/>
          <w:vertAlign w:val="baseline"/>
        </w:rPr>
        <w:t>RSPO</w:t>
      </w:r>
      <w:r w:rsidR="00D30DCB">
        <w:rPr>
          <w:rFonts w:ascii="Times New Roman" w:hAnsi="Times New Roman" w:cs="Times New Roman"/>
          <w:sz w:val="24"/>
          <w:szCs w:val="24"/>
        </w:rPr>
        <w:t>’s success in achieving its stated goals</w:t>
      </w:r>
      <w:r w:rsidR="008D5530">
        <w:rPr>
          <w:rFonts w:ascii="Times New Roman" w:hAnsi="Times New Roman" w:cs="Times New Roman"/>
          <w:sz w:val="24"/>
          <w:szCs w:val="24"/>
        </w:rPr>
        <w:t xml:space="preserve"> </w:t>
      </w:r>
      <w:r w:rsidR="00CA24C1" w:rsidRPr="00E07B7E">
        <w:rPr>
          <w:rStyle w:val="FootnoteReference"/>
          <w:rFonts w:ascii="Times New Roman" w:hAnsi="Times New Roman" w:cs="Times New Roman"/>
          <w:sz w:val="24"/>
          <w:szCs w:val="24"/>
          <w:vertAlign w:val="baseline"/>
        </w:rPr>
        <w:t xml:space="preserve">has been </w:t>
      </w:r>
      <w:r w:rsidR="0046284E" w:rsidRPr="00E07B7E">
        <w:rPr>
          <w:rFonts w:ascii="Times New Roman" w:hAnsi="Times New Roman" w:cs="Times New Roman"/>
          <w:sz w:val="24"/>
          <w:szCs w:val="24"/>
        </w:rPr>
        <w:t>the subject of significant</w:t>
      </w:r>
      <w:r w:rsidR="00577240" w:rsidRPr="00E07B7E">
        <w:rPr>
          <w:rFonts w:ascii="Times New Roman" w:hAnsi="Times New Roman" w:cs="Times New Roman"/>
          <w:sz w:val="24"/>
          <w:szCs w:val="24"/>
        </w:rPr>
        <w:t xml:space="preserve"> academic analysis, with</w:t>
      </w:r>
      <w:r w:rsidR="0046284E" w:rsidRPr="00E07B7E">
        <w:rPr>
          <w:rFonts w:ascii="Times New Roman" w:hAnsi="Times New Roman" w:cs="Times New Roman"/>
          <w:sz w:val="24"/>
          <w:szCs w:val="24"/>
        </w:rPr>
        <w:t xml:space="preserve"> </w:t>
      </w:r>
      <w:r w:rsidR="00A72369" w:rsidRPr="00E07B7E">
        <w:rPr>
          <w:rFonts w:ascii="Times New Roman" w:hAnsi="Times New Roman" w:cs="Times New Roman"/>
          <w:sz w:val="24"/>
          <w:szCs w:val="24"/>
        </w:rPr>
        <w:t xml:space="preserve">the most cited </w:t>
      </w:r>
      <w:r w:rsidR="005B3E2B" w:rsidRPr="00E07B7E">
        <w:rPr>
          <w:rFonts w:ascii="Times New Roman" w:hAnsi="Times New Roman" w:cs="Times New Roman"/>
          <w:sz w:val="24"/>
          <w:szCs w:val="24"/>
        </w:rPr>
        <w:t>studies questioning its effects on</w:t>
      </w:r>
      <w:r w:rsidR="0046284E" w:rsidRPr="00E07B7E">
        <w:rPr>
          <w:rFonts w:ascii="Times New Roman" w:hAnsi="Times New Roman" w:cs="Times New Roman"/>
          <w:sz w:val="24"/>
          <w:szCs w:val="24"/>
        </w:rPr>
        <w:t xml:space="preserve"> deforestation and habitat </w:t>
      </w:r>
      <w:r w:rsidR="005B3E2B" w:rsidRPr="00E07B7E">
        <w:rPr>
          <w:rFonts w:ascii="Times New Roman" w:hAnsi="Times New Roman" w:cs="Times New Roman"/>
          <w:sz w:val="24"/>
          <w:szCs w:val="24"/>
        </w:rPr>
        <w:t>degradation</w:t>
      </w:r>
      <w:r w:rsidR="00713BBD" w:rsidRPr="00E07B7E">
        <w:rPr>
          <w:rFonts w:ascii="Times New Roman" w:hAnsi="Times New Roman" w:cs="Times New Roman"/>
          <w:sz w:val="24"/>
          <w:szCs w:val="24"/>
        </w:rPr>
        <w:t>, as well as raising issues about its</w:t>
      </w:r>
      <w:r w:rsidR="00095407">
        <w:rPr>
          <w:rFonts w:ascii="Times New Roman" w:hAnsi="Times New Roman" w:cs="Times New Roman"/>
          <w:sz w:val="24"/>
          <w:szCs w:val="24"/>
        </w:rPr>
        <w:t xml:space="preserve"> legitimacy</w:t>
      </w:r>
      <w:r w:rsidR="00713BBD" w:rsidRPr="00E07B7E">
        <w:rPr>
          <w:rFonts w:ascii="Times New Roman" w:hAnsi="Times New Roman" w:cs="Times New Roman"/>
          <w:sz w:val="24"/>
          <w:szCs w:val="24"/>
        </w:rPr>
        <w:t xml:space="preserve"> among those who have resisted expansion of oil palm cultivation</w:t>
      </w:r>
      <w:r w:rsidR="006125B5" w:rsidRPr="00E07B7E">
        <w:rPr>
          <w:rFonts w:ascii="Times New Roman" w:hAnsi="Times New Roman" w:cs="Times New Roman"/>
          <w:sz w:val="24"/>
          <w:szCs w:val="24"/>
        </w:rPr>
        <w:t>.</w:t>
      </w:r>
      <w:r w:rsidR="0046284E" w:rsidRPr="00E07B7E">
        <w:rPr>
          <w:rStyle w:val="FootnoteReference"/>
          <w:rFonts w:ascii="Times New Roman" w:hAnsi="Times New Roman" w:cs="Times New Roman"/>
          <w:sz w:val="24"/>
          <w:szCs w:val="24"/>
        </w:rPr>
        <w:footnoteReference w:id="44"/>
      </w:r>
      <w:r w:rsidR="00CA24C1" w:rsidRPr="00E07B7E">
        <w:rPr>
          <w:rStyle w:val="FootnoteReference"/>
          <w:rFonts w:ascii="Times New Roman" w:hAnsi="Times New Roman" w:cs="Times New Roman"/>
          <w:sz w:val="24"/>
          <w:szCs w:val="24"/>
          <w:vertAlign w:val="baseline"/>
        </w:rPr>
        <w:t xml:space="preserve"> </w:t>
      </w:r>
    </w:p>
    <w:p w14:paraId="1186034C" w14:textId="78AFBB33"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The RSPO complaint mechanism was established in 2009 and has been refined over the years. It has formal rules, a professional </w:t>
      </w:r>
      <w:r w:rsidR="007E04B0">
        <w:rPr>
          <w:rFonts w:ascii="Times New Roman" w:hAnsi="Times New Roman" w:cs="Times New Roman"/>
          <w:sz w:val="24"/>
          <w:szCs w:val="24"/>
        </w:rPr>
        <w:t>secretariat</w:t>
      </w:r>
      <w:r w:rsidRPr="00E07B7E">
        <w:rPr>
          <w:rFonts w:ascii="Times New Roman" w:hAnsi="Times New Roman" w:cs="Times New Roman"/>
          <w:sz w:val="24"/>
          <w:szCs w:val="24"/>
        </w:rPr>
        <w:t xml:space="preserve"> panel, an appeal process and a stable of outside investigators.</w:t>
      </w:r>
      <w:r w:rsidR="003C7994">
        <w:rPr>
          <w:rStyle w:val="FootnoteReference"/>
          <w:rFonts w:ascii="Times New Roman" w:hAnsi="Times New Roman" w:cs="Times New Roman"/>
          <w:sz w:val="24"/>
          <w:szCs w:val="24"/>
        </w:rPr>
        <w:footnoteReference w:id="45"/>
      </w:r>
      <w:r w:rsidRPr="00E07B7E">
        <w:rPr>
          <w:rFonts w:ascii="Times New Roman" w:hAnsi="Times New Roman" w:cs="Times New Roman"/>
          <w:sz w:val="24"/>
          <w:szCs w:val="24"/>
        </w:rPr>
        <w:t xml:space="preserve"> The process begins with a complaint and a written response from the respondent company. There is an initial determination that the complaint is appropriate for decision through the RSPO process. A </w:t>
      </w:r>
      <w:r w:rsidR="00480FAA"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is constituted </w:t>
      </w:r>
      <w:r w:rsidR="00867E06" w:rsidRPr="00E07B7E">
        <w:rPr>
          <w:rFonts w:ascii="Times New Roman" w:hAnsi="Times New Roman" w:cs="Times New Roman"/>
          <w:sz w:val="24"/>
          <w:szCs w:val="24"/>
        </w:rPr>
        <w:t xml:space="preserve">of </w:t>
      </w:r>
      <w:r w:rsidRPr="00E07B7E">
        <w:rPr>
          <w:rFonts w:ascii="Times New Roman" w:hAnsi="Times New Roman" w:cs="Times New Roman"/>
          <w:sz w:val="24"/>
          <w:szCs w:val="24"/>
        </w:rPr>
        <w:t xml:space="preserve">representatives </w:t>
      </w:r>
      <w:r w:rsidR="00867E06" w:rsidRPr="00E07B7E">
        <w:rPr>
          <w:rFonts w:ascii="Times New Roman" w:hAnsi="Times New Roman" w:cs="Times New Roman"/>
          <w:sz w:val="24"/>
          <w:szCs w:val="24"/>
        </w:rPr>
        <w:t>from</w:t>
      </w:r>
      <w:r w:rsidRPr="00E07B7E">
        <w:rPr>
          <w:rFonts w:ascii="Times New Roman" w:hAnsi="Times New Roman" w:cs="Times New Roman"/>
          <w:sz w:val="24"/>
          <w:szCs w:val="24"/>
        </w:rPr>
        <w:t xml:space="preserve"> RSPO’s multi-stakeholder members</w:t>
      </w:r>
      <w:r w:rsidR="009B4CA6">
        <w:rPr>
          <w:rFonts w:ascii="Times New Roman" w:hAnsi="Times New Roman" w:cs="Times New Roman"/>
          <w:sz w:val="24"/>
          <w:szCs w:val="24"/>
        </w:rPr>
        <w:t xml:space="preserve"> who declare themselves to have no </w:t>
      </w:r>
      <w:r w:rsidR="009B4CA6" w:rsidRPr="009B4CA6">
        <w:rPr>
          <w:rFonts w:ascii="Times New Roman" w:hAnsi="Times New Roman" w:cs="Times New Roman"/>
          <w:sz w:val="24"/>
          <w:szCs w:val="24"/>
        </w:rPr>
        <w:t>professional, financial or personal</w:t>
      </w:r>
      <w:r w:rsidR="009B4CA6">
        <w:rPr>
          <w:rFonts w:ascii="Times New Roman" w:hAnsi="Times New Roman" w:cs="Times New Roman"/>
          <w:sz w:val="24"/>
          <w:szCs w:val="24"/>
        </w:rPr>
        <w:t xml:space="preserve"> relationship to the parties to the case</w:t>
      </w:r>
      <w:r w:rsidRPr="00E07B7E">
        <w:rPr>
          <w:rFonts w:ascii="Times New Roman" w:hAnsi="Times New Roman" w:cs="Times New Roman"/>
          <w:sz w:val="24"/>
          <w:szCs w:val="24"/>
        </w:rPr>
        <w:t xml:space="preserve">. The </w:t>
      </w:r>
      <w:r w:rsidR="00480FAA"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manages the dispute. Often, a third-party investigator is appointed by the </w:t>
      </w:r>
      <w:r w:rsidR="00480FAA"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to go in person to </w:t>
      </w:r>
      <w:r w:rsidR="006E78CA" w:rsidRPr="00E07B7E">
        <w:rPr>
          <w:rFonts w:ascii="Times New Roman" w:hAnsi="Times New Roman" w:cs="Times New Roman"/>
          <w:sz w:val="24"/>
          <w:szCs w:val="24"/>
        </w:rPr>
        <w:t>judge</w:t>
      </w:r>
      <w:r w:rsidRPr="00E07B7E">
        <w:rPr>
          <w:rFonts w:ascii="Times New Roman" w:hAnsi="Times New Roman" w:cs="Times New Roman"/>
          <w:sz w:val="24"/>
          <w:szCs w:val="24"/>
        </w:rPr>
        <w:t xml:space="preserve"> the situation on the ground. The investigator then submits a report to the complaints panel. The </w:t>
      </w:r>
      <w:r w:rsidR="00480FAA"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issues an </w:t>
      </w:r>
      <w:r w:rsidR="006E78CA" w:rsidRPr="00E07B7E">
        <w:rPr>
          <w:rFonts w:ascii="Times New Roman" w:hAnsi="Times New Roman" w:cs="Times New Roman"/>
          <w:sz w:val="24"/>
          <w:szCs w:val="24"/>
        </w:rPr>
        <w:t>i</w:t>
      </w:r>
      <w:r w:rsidRPr="00E07B7E">
        <w:rPr>
          <w:rFonts w:ascii="Times New Roman" w:hAnsi="Times New Roman" w:cs="Times New Roman"/>
          <w:sz w:val="24"/>
          <w:szCs w:val="24"/>
        </w:rPr>
        <w:t xml:space="preserve">nitial </w:t>
      </w:r>
      <w:r w:rsidR="006E78CA" w:rsidRPr="00E07B7E">
        <w:rPr>
          <w:rFonts w:ascii="Times New Roman" w:hAnsi="Times New Roman" w:cs="Times New Roman"/>
          <w:sz w:val="24"/>
          <w:szCs w:val="24"/>
        </w:rPr>
        <w:t>i</w:t>
      </w:r>
      <w:r w:rsidRPr="00E07B7E">
        <w:rPr>
          <w:rFonts w:ascii="Times New Roman" w:hAnsi="Times New Roman" w:cs="Times New Roman"/>
          <w:sz w:val="24"/>
          <w:szCs w:val="24"/>
        </w:rPr>
        <w:t xml:space="preserve">nterim </w:t>
      </w:r>
      <w:r w:rsidR="006E78CA" w:rsidRPr="00E07B7E">
        <w:rPr>
          <w:rFonts w:ascii="Times New Roman" w:hAnsi="Times New Roman" w:cs="Times New Roman"/>
          <w:sz w:val="24"/>
          <w:szCs w:val="24"/>
        </w:rPr>
        <w:t>o</w:t>
      </w:r>
      <w:r w:rsidRPr="00E07B7E">
        <w:rPr>
          <w:rFonts w:ascii="Times New Roman" w:hAnsi="Times New Roman" w:cs="Times New Roman"/>
          <w:sz w:val="24"/>
          <w:szCs w:val="24"/>
        </w:rPr>
        <w:t xml:space="preserve">rder determining whether the RSPO standards have been violated and, when necessary, ordering actions to be taken by the member company to return to compliance. These actions are then monitored, sometimes for years. The monitoring ends with the actions bringing the member company back into compliance and the claim is </w:t>
      </w:r>
      <w:r w:rsidRPr="00E07B7E">
        <w:rPr>
          <w:rFonts w:ascii="Times New Roman" w:hAnsi="Times New Roman" w:cs="Times New Roman"/>
          <w:sz w:val="24"/>
          <w:szCs w:val="24"/>
        </w:rPr>
        <w:lastRenderedPageBreak/>
        <w:t xml:space="preserve">officially closed. A party who disagrees with the decision of the </w:t>
      </w:r>
      <w:r w:rsidR="00480FAA"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can pursue an appeal procedure with an </w:t>
      </w:r>
      <w:r w:rsidR="00480FAA" w:rsidRPr="00E07B7E">
        <w:rPr>
          <w:rFonts w:ascii="Times New Roman" w:hAnsi="Times New Roman" w:cs="Times New Roman"/>
          <w:sz w:val="24"/>
          <w:szCs w:val="24"/>
        </w:rPr>
        <w:t>a</w:t>
      </w:r>
      <w:r w:rsidRPr="00E07B7E">
        <w:rPr>
          <w:rFonts w:ascii="Times New Roman" w:hAnsi="Times New Roman" w:cs="Times New Roman"/>
          <w:sz w:val="24"/>
          <w:szCs w:val="24"/>
        </w:rPr>
        <w:t xml:space="preserve">ppeal </w:t>
      </w:r>
      <w:r w:rsidR="00480FAA" w:rsidRPr="00E07B7E">
        <w:rPr>
          <w:rFonts w:ascii="Times New Roman" w:hAnsi="Times New Roman" w:cs="Times New Roman"/>
          <w:sz w:val="24"/>
          <w:szCs w:val="24"/>
        </w:rPr>
        <w:t>p</w:t>
      </w:r>
      <w:r w:rsidRPr="00E07B7E">
        <w:rPr>
          <w:rFonts w:ascii="Times New Roman" w:hAnsi="Times New Roman" w:cs="Times New Roman"/>
          <w:sz w:val="24"/>
          <w:szCs w:val="24"/>
        </w:rPr>
        <w:t>anel.</w:t>
      </w:r>
      <w:r w:rsidRPr="00E07B7E">
        <w:rPr>
          <w:rStyle w:val="FootnoteReference"/>
          <w:rFonts w:ascii="Times New Roman" w:hAnsi="Times New Roman" w:cs="Times New Roman"/>
          <w:sz w:val="24"/>
          <w:szCs w:val="24"/>
        </w:rPr>
        <w:footnoteReference w:id="46"/>
      </w:r>
    </w:p>
    <w:p w14:paraId="0DDC1BD3" w14:textId="34E0ABA8" w:rsidR="00D42D35" w:rsidRPr="00E07B7E" w:rsidRDefault="004859E1"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T</w:t>
      </w:r>
      <w:r w:rsidR="00913556" w:rsidRPr="00E07B7E">
        <w:rPr>
          <w:rFonts w:ascii="Times New Roman" w:hAnsi="Times New Roman" w:cs="Times New Roman"/>
          <w:sz w:val="24"/>
          <w:szCs w:val="24"/>
        </w:rPr>
        <w:t>he RSPO can also go from adjudication mode to settlement facilitation mode. This can happen anytime from immediately upon receiving the claim up until late in the monitoring stage after an order. Sometimes both tracks proceed simultaneously, with the RSPO encouraging dialogue and settlement while continuing to examine the case.</w:t>
      </w:r>
      <w:r w:rsidR="00480FAA" w:rsidRPr="00E07B7E">
        <w:rPr>
          <w:rFonts w:ascii="Times New Roman" w:hAnsi="Times New Roman" w:cs="Times New Roman"/>
          <w:sz w:val="24"/>
          <w:szCs w:val="24"/>
        </w:rPr>
        <w:t xml:space="preserve"> </w:t>
      </w:r>
      <w:r w:rsidR="00913556" w:rsidRPr="00E07B7E">
        <w:rPr>
          <w:rFonts w:ascii="Times New Roman" w:hAnsi="Times New Roman" w:cs="Times New Roman"/>
          <w:sz w:val="24"/>
          <w:szCs w:val="24"/>
        </w:rPr>
        <w:t xml:space="preserve">Remedies ordered by the </w:t>
      </w:r>
      <w:r w:rsidR="00C86E7C" w:rsidRPr="00E07B7E">
        <w:rPr>
          <w:rFonts w:ascii="Times New Roman" w:hAnsi="Times New Roman" w:cs="Times New Roman"/>
          <w:sz w:val="24"/>
          <w:szCs w:val="24"/>
        </w:rPr>
        <w:t>c</w:t>
      </w:r>
      <w:r w:rsidR="00913556" w:rsidRPr="00E07B7E">
        <w:rPr>
          <w:rFonts w:ascii="Times New Roman" w:hAnsi="Times New Roman" w:cs="Times New Roman"/>
          <w:sz w:val="24"/>
          <w:szCs w:val="24"/>
        </w:rPr>
        <w:t xml:space="preserve">omplaints </w:t>
      </w:r>
      <w:r w:rsidR="00C86E7C" w:rsidRPr="00E07B7E">
        <w:rPr>
          <w:rFonts w:ascii="Times New Roman" w:hAnsi="Times New Roman" w:cs="Times New Roman"/>
          <w:sz w:val="24"/>
          <w:szCs w:val="24"/>
        </w:rPr>
        <w:t>p</w:t>
      </w:r>
      <w:r w:rsidR="00913556" w:rsidRPr="00E07B7E">
        <w:rPr>
          <w:rFonts w:ascii="Times New Roman" w:hAnsi="Times New Roman" w:cs="Times New Roman"/>
          <w:sz w:val="24"/>
          <w:szCs w:val="24"/>
        </w:rPr>
        <w:t xml:space="preserve">anel are injunctive, that is, they are requests that the member company act or refrain from acting. </w:t>
      </w:r>
      <w:r w:rsidR="00913556" w:rsidRPr="00F76A6C">
        <w:rPr>
          <w:rFonts w:ascii="Times New Roman" w:hAnsi="Times New Roman" w:cs="Times New Roman"/>
          <w:sz w:val="24"/>
          <w:szCs w:val="24"/>
        </w:rPr>
        <w:t>There are no monetary awards</w:t>
      </w:r>
      <w:r w:rsidR="00480FAA" w:rsidRPr="00F76A6C">
        <w:rPr>
          <w:rFonts w:ascii="Times New Roman" w:hAnsi="Times New Roman" w:cs="Times New Roman"/>
          <w:sz w:val="24"/>
          <w:szCs w:val="24"/>
        </w:rPr>
        <w:t xml:space="preserve"> or any forms of restitution</w:t>
      </w:r>
      <w:r w:rsidR="00913556" w:rsidRPr="00E07B7E">
        <w:rPr>
          <w:rFonts w:ascii="Times New Roman" w:hAnsi="Times New Roman" w:cs="Times New Roman"/>
          <w:sz w:val="24"/>
          <w:szCs w:val="24"/>
        </w:rPr>
        <w:t xml:space="preserve">. The ultimate sanction is to decertify a member company or operation. However, the </w:t>
      </w:r>
      <w:r w:rsidR="003A545E">
        <w:rPr>
          <w:rFonts w:ascii="Times New Roman" w:hAnsi="Times New Roman" w:cs="Times New Roman"/>
          <w:sz w:val="24"/>
          <w:szCs w:val="24"/>
        </w:rPr>
        <w:t>c</w:t>
      </w:r>
      <w:r w:rsidR="00913556" w:rsidRPr="00E07B7E">
        <w:rPr>
          <w:rFonts w:ascii="Times New Roman" w:hAnsi="Times New Roman" w:cs="Times New Roman"/>
          <w:sz w:val="24"/>
          <w:szCs w:val="24"/>
        </w:rPr>
        <w:t>omplaint</w:t>
      </w:r>
      <w:r w:rsidR="003A545E">
        <w:rPr>
          <w:rFonts w:ascii="Times New Roman" w:hAnsi="Times New Roman" w:cs="Times New Roman"/>
          <w:sz w:val="24"/>
          <w:szCs w:val="24"/>
        </w:rPr>
        <w:t>s</w:t>
      </w:r>
      <w:r w:rsidR="00913556" w:rsidRPr="00E07B7E">
        <w:rPr>
          <w:rFonts w:ascii="Times New Roman" w:hAnsi="Times New Roman" w:cs="Times New Roman"/>
          <w:sz w:val="24"/>
          <w:szCs w:val="24"/>
        </w:rPr>
        <w:t xml:space="preserve"> </w:t>
      </w:r>
      <w:r w:rsidR="003A545E">
        <w:rPr>
          <w:rFonts w:ascii="Times New Roman" w:hAnsi="Times New Roman" w:cs="Times New Roman"/>
          <w:sz w:val="24"/>
          <w:szCs w:val="24"/>
        </w:rPr>
        <w:t>p</w:t>
      </w:r>
      <w:r w:rsidR="00913556" w:rsidRPr="00E07B7E">
        <w:rPr>
          <w:rFonts w:ascii="Times New Roman" w:hAnsi="Times New Roman" w:cs="Times New Roman"/>
          <w:sz w:val="24"/>
          <w:szCs w:val="24"/>
        </w:rPr>
        <w:t xml:space="preserve">anel has power only over RSPO members and so a company can avoid its jurisdiction at any time by withdrawing from membership. </w:t>
      </w:r>
    </w:p>
    <w:p w14:paraId="3810AA8F" w14:textId="716E57C1" w:rsidR="0047223E" w:rsidRDefault="00A148C5" w:rsidP="001659DC">
      <w:pPr>
        <w:spacing w:line="360" w:lineRule="auto"/>
        <w:ind w:firstLine="360"/>
        <w:rPr>
          <w:rFonts w:ascii="Times New Roman" w:hAnsi="Times New Roman" w:cs="Times New Roman"/>
          <w:sz w:val="24"/>
          <w:szCs w:val="24"/>
          <w:lang w:val="en-GB"/>
        </w:rPr>
      </w:pPr>
      <w:r>
        <w:rPr>
          <w:rFonts w:ascii="Times New Roman" w:hAnsi="Times New Roman" w:cs="Times New Roman"/>
          <w:sz w:val="24"/>
          <w:szCs w:val="24"/>
        </w:rPr>
        <w:t>In 2013, a Resolution of the</w:t>
      </w:r>
      <w:r w:rsidRPr="002F6FE9">
        <w:rPr>
          <w:rFonts w:ascii="Times New Roman" w:hAnsi="Times New Roman" w:cs="Times New Roman"/>
          <w:sz w:val="24"/>
          <w:szCs w:val="24"/>
        </w:rPr>
        <w:t xml:space="preserve"> </w:t>
      </w:r>
      <w:r>
        <w:rPr>
          <w:rFonts w:ascii="Times New Roman" w:hAnsi="Times New Roman" w:cs="Times New Roman"/>
          <w:sz w:val="24"/>
          <w:szCs w:val="24"/>
        </w:rPr>
        <w:t xml:space="preserve">RSPO </w:t>
      </w:r>
      <w:r w:rsidRPr="002F6FE9">
        <w:rPr>
          <w:rFonts w:ascii="Times New Roman" w:hAnsi="Times New Roman" w:cs="Times New Roman"/>
          <w:sz w:val="24"/>
          <w:szCs w:val="24"/>
        </w:rPr>
        <w:t>General</w:t>
      </w:r>
      <w:r>
        <w:rPr>
          <w:rFonts w:ascii="Times New Roman" w:hAnsi="Times New Roman" w:cs="Times New Roman"/>
          <w:sz w:val="24"/>
          <w:szCs w:val="24"/>
        </w:rPr>
        <w:t xml:space="preserve"> Assembly  required alignment of the complaints mechanism</w:t>
      </w:r>
      <w:r w:rsidRPr="002F6FE9">
        <w:rPr>
          <w:rFonts w:ascii="Times New Roman" w:hAnsi="Times New Roman" w:cs="Times New Roman"/>
          <w:sz w:val="24"/>
          <w:szCs w:val="24"/>
        </w:rPr>
        <w:t xml:space="preserve"> with the </w:t>
      </w:r>
      <w:r>
        <w:rPr>
          <w:rFonts w:ascii="Times New Roman" w:hAnsi="Times New Roman" w:cs="Times New Roman"/>
          <w:sz w:val="24"/>
          <w:szCs w:val="24"/>
        </w:rPr>
        <w:t>UNGPs’ effectiveness criteria</w:t>
      </w:r>
      <w:r w:rsidRPr="002F6FE9">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r w:rsidRPr="002F6FE9">
        <w:rPr>
          <w:rFonts w:ascii="Times New Roman" w:hAnsi="Times New Roman" w:cs="Times New Roman"/>
          <w:sz w:val="24"/>
          <w:szCs w:val="24"/>
        </w:rPr>
        <w:t xml:space="preserve"> </w:t>
      </w:r>
      <w:r w:rsidR="006B582F">
        <w:rPr>
          <w:rFonts w:ascii="Times New Roman" w:hAnsi="Times New Roman" w:cs="Times New Roman"/>
          <w:sz w:val="24"/>
          <w:szCs w:val="24"/>
        </w:rPr>
        <w:t>Not only is the RSPO complaint mechanism</w:t>
      </w:r>
      <w:r>
        <w:rPr>
          <w:rFonts w:ascii="Times New Roman" w:hAnsi="Times New Roman" w:cs="Times New Roman"/>
          <w:sz w:val="24"/>
          <w:szCs w:val="24"/>
        </w:rPr>
        <w:t xml:space="preserve"> formally aligned in this way, but it </w:t>
      </w:r>
      <w:r w:rsidR="006B582F">
        <w:rPr>
          <w:rFonts w:ascii="Times New Roman" w:hAnsi="Times New Roman" w:cs="Times New Roman"/>
          <w:sz w:val="24"/>
          <w:szCs w:val="24"/>
        </w:rPr>
        <w:t xml:space="preserve">also </w:t>
      </w:r>
      <w:r>
        <w:rPr>
          <w:rFonts w:ascii="Times New Roman" w:hAnsi="Times New Roman" w:cs="Times New Roman"/>
          <w:sz w:val="24"/>
          <w:szCs w:val="24"/>
        </w:rPr>
        <w:t xml:space="preserve">performs </w:t>
      </w:r>
      <w:r w:rsidR="00861879">
        <w:rPr>
          <w:rFonts w:ascii="Times New Roman" w:hAnsi="Times New Roman" w:cs="Times New Roman"/>
          <w:sz w:val="24"/>
          <w:szCs w:val="24"/>
        </w:rPr>
        <w:t>far better than the vast majority of NSB</w:t>
      </w:r>
      <w:r w:rsidR="004E73E1">
        <w:rPr>
          <w:rFonts w:ascii="Times New Roman" w:hAnsi="Times New Roman" w:cs="Times New Roman"/>
          <w:sz w:val="24"/>
          <w:szCs w:val="24"/>
        </w:rPr>
        <w:t xml:space="preserve">GMs when assessed against </w:t>
      </w:r>
      <w:r w:rsidR="0047223E">
        <w:rPr>
          <w:rFonts w:ascii="Times New Roman" w:hAnsi="Times New Roman" w:cs="Times New Roman"/>
          <w:sz w:val="24"/>
          <w:szCs w:val="24"/>
        </w:rPr>
        <w:t>those criteria</w:t>
      </w:r>
      <w:r w:rsidR="00861879">
        <w:rPr>
          <w:rFonts w:ascii="Times New Roman" w:hAnsi="Times New Roman" w:cs="Times New Roman"/>
          <w:sz w:val="24"/>
          <w:szCs w:val="24"/>
        </w:rPr>
        <w:t xml:space="preserve">. </w:t>
      </w:r>
      <w:r w:rsidR="00272CE7">
        <w:rPr>
          <w:rFonts w:ascii="Times New Roman" w:hAnsi="Times New Roman" w:cs="Times New Roman"/>
          <w:sz w:val="24"/>
          <w:szCs w:val="24"/>
        </w:rPr>
        <w:t>T</w:t>
      </w:r>
      <w:r w:rsidRPr="00A51B3A">
        <w:rPr>
          <w:rFonts w:ascii="Times New Roman" w:hAnsi="Times New Roman" w:cs="Times New Roman"/>
          <w:sz w:val="24"/>
          <w:szCs w:val="24"/>
        </w:rPr>
        <w:t>he Multi-Stakeholder Initiati</w:t>
      </w:r>
      <w:r>
        <w:rPr>
          <w:rFonts w:ascii="Times New Roman" w:hAnsi="Times New Roman" w:cs="Times New Roman"/>
          <w:sz w:val="24"/>
          <w:szCs w:val="24"/>
        </w:rPr>
        <w:t>ve Database (MSI Database)</w:t>
      </w:r>
      <w:r w:rsidRPr="00A51B3A">
        <w:rPr>
          <w:rFonts w:ascii="Times New Roman" w:hAnsi="Times New Roman" w:cs="Times New Roman"/>
          <w:sz w:val="24"/>
          <w:szCs w:val="24"/>
        </w:rPr>
        <w:t xml:space="preserve"> catalogues 45 different MSIs across industries from mining to telecommunications, clothing to fisheries.</w:t>
      </w:r>
      <w:r w:rsidRPr="00A51B3A">
        <w:rPr>
          <w:rFonts w:ascii="Times New Roman" w:hAnsi="Times New Roman" w:cs="Times New Roman"/>
          <w:sz w:val="24"/>
          <w:szCs w:val="24"/>
          <w:vertAlign w:val="superscript"/>
        </w:rPr>
        <w:footnoteReference w:id="48"/>
      </w:r>
      <w:r>
        <w:rPr>
          <w:rFonts w:ascii="Times New Roman" w:hAnsi="Times New Roman" w:cs="Times New Roman"/>
          <w:sz w:val="24"/>
          <w:szCs w:val="24"/>
        </w:rPr>
        <w:t xml:space="preserve"> Its analysis of MSIs’ complaints mechanisms recognize</w:t>
      </w:r>
      <w:r w:rsidR="00861879">
        <w:rPr>
          <w:rFonts w:ascii="Times New Roman" w:hAnsi="Times New Roman" w:cs="Times New Roman"/>
          <w:sz w:val="24"/>
          <w:szCs w:val="24"/>
        </w:rPr>
        <w:t>s</w:t>
      </w:r>
      <w:r>
        <w:rPr>
          <w:rFonts w:ascii="Times New Roman" w:hAnsi="Times New Roman" w:cs="Times New Roman"/>
          <w:sz w:val="24"/>
          <w:szCs w:val="24"/>
        </w:rPr>
        <w:t xml:space="preserve"> that</w:t>
      </w:r>
      <w:r w:rsidR="00861879">
        <w:rPr>
          <w:rFonts w:ascii="Times New Roman" w:hAnsi="Times New Roman" w:cs="Times New Roman"/>
          <w:sz w:val="24"/>
          <w:szCs w:val="24"/>
        </w:rPr>
        <w:t xml:space="preserve"> the vast majority of MSIs do not meet the standards set by the effectiveness criteria.</w:t>
      </w:r>
      <w:r w:rsidR="0047223E">
        <w:rPr>
          <w:rStyle w:val="FootnoteReference"/>
          <w:rFonts w:ascii="Times New Roman" w:hAnsi="Times New Roman" w:cs="Times New Roman"/>
          <w:sz w:val="24"/>
          <w:szCs w:val="24"/>
        </w:rPr>
        <w:footnoteReference w:id="49"/>
      </w:r>
      <w:r w:rsidR="00861879">
        <w:rPr>
          <w:rFonts w:ascii="Times New Roman" w:hAnsi="Times New Roman" w:cs="Times New Roman"/>
          <w:sz w:val="24"/>
          <w:szCs w:val="24"/>
        </w:rPr>
        <w:t xml:space="preserve"> </w:t>
      </w:r>
      <w:r w:rsidR="009A7242">
        <w:rPr>
          <w:rFonts w:ascii="Times New Roman" w:hAnsi="Times New Roman" w:cs="Times New Roman"/>
          <w:sz w:val="24"/>
          <w:szCs w:val="24"/>
        </w:rPr>
        <w:t xml:space="preserve">However, </w:t>
      </w:r>
      <w:r w:rsidR="008A77E5">
        <w:rPr>
          <w:rFonts w:ascii="Times New Roman" w:hAnsi="Times New Roman" w:cs="Times New Roman"/>
          <w:sz w:val="24"/>
          <w:szCs w:val="24"/>
        </w:rPr>
        <w:lastRenderedPageBreak/>
        <w:t xml:space="preserve">according to its analysis, </w:t>
      </w:r>
      <w:r w:rsidR="009B1A99">
        <w:rPr>
          <w:rFonts w:ascii="Times New Roman" w:hAnsi="Times New Roman" w:cs="Times New Roman"/>
          <w:sz w:val="24"/>
          <w:szCs w:val="24"/>
        </w:rPr>
        <w:t>RSPO is one of the very best performers</w:t>
      </w:r>
      <w:r w:rsidR="000023D0">
        <w:rPr>
          <w:rFonts w:ascii="Times New Roman" w:hAnsi="Times New Roman" w:cs="Times New Roman"/>
          <w:sz w:val="24"/>
          <w:szCs w:val="24"/>
        </w:rPr>
        <w:t xml:space="preserve">. </w:t>
      </w:r>
      <w:r w:rsidR="009B1A99">
        <w:rPr>
          <w:rFonts w:ascii="Times New Roman" w:hAnsi="Times New Roman" w:cs="Times New Roman"/>
          <w:sz w:val="24"/>
          <w:szCs w:val="24"/>
        </w:rPr>
        <w:t>In terms of transparency, i</w:t>
      </w:r>
      <w:r w:rsidR="000023D0">
        <w:rPr>
          <w:rFonts w:ascii="Times New Roman" w:hAnsi="Times New Roman" w:cs="Times New Roman"/>
          <w:sz w:val="24"/>
          <w:szCs w:val="24"/>
        </w:rPr>
        <w:t>t is one of only 4</w:t>
      </w:r>
      <w:r w:rsidR="00861879">
        <w:rPr>
          <w:rFonts w:ascii="Times New Roman" w:hAnsi="Times New Roman" w:cs="Times New Roman"/>
          <w:sz w:val="24"/>
          <w:szCs w:val="24"/>
        </w:rPr>
        <w:t xml:space="preserve"> MSIs</w:t>
      </w:r>
      <w:r w:rsidR="000023D0">
        <w:rPr>
          <w:rFonts w:ascii="Times New Roman" w:hAnsi="Times New Roman" w:cs="Times New Roman"/>
          <w:sz w:val="24"/>
          <w:szCs w:val="24"/>
        </w:rPr>
        <w:t xml:space="preserve"> </w:t>
      </w:r>
      <w:r w:rsidR="009A7242">
        <w:rPr>
          <w:rFonts w:ascii="Times New Roman" w:hAnsi="Times New Roman" w:cs="Times New Roman"/>
          <w:sz w:val="24"/>
          <w:szCs w:val="24"/>
        </w:rPr>
        <w:t xml:space="preserve">with complaints mechanisms </w:t>
      </w:r>
      <w:r w:rsidR="000023D0">
        <w:rPr>
          <w:rFonts w:ascii="Times New Roman" w:hAnsi="Times New Roman" w:cs="Times New Roman"/>
          <w:sz w:val="24"/>
          <w:szCs w:val="24"/>
        </w:rPr>
        <w:t>which</w:t>
      </w:r>
      <w:r w:rsidR="004E73E1">
        <w:rPr>
          <w:rFonts w:ascii="Times New Roman" w:hAnsi="Times New Roman" w:cs="Times New Roman"/>
          <w:sz w:val="24"/>
          <w:szCs w:val="24"/>
        </w:rPr>
        <w:t xml:space="preserve"> </w:t>
      </w:r>
      <w:r w:rsidR="000023D0">
        <w:rPr>
          <w:rFonts w:ascii="Times New Roman" w:hAnsi="Times New Roman" w:cs="Times New Roman"/>
          <w:sz w:val="24"/>
          <w:szCs w:val="24"/>
        </w:rPr>
        <w:t>discloses</w:t>
      </w:r>
      <w:r w:rsidR="004E73E1">
        <w:rPr>
          <w:rFonts w:ascii="Times New Roman" w:hAnsi="Times New Roman" w:cs="Times New Roman"/>
          <w:sz w:val="24"/>
          <w:szCs w:val="24"/>
        </w:rPr>
        <w:t xml:space="preserve"> information about</w:t>
      </w:r>
      <w:r w:rsidR="00861879" w:rsidRPr="00861879">
        <w:rPr>
          <w:rFonts w:ascii="Times New Roman" w:hAnsi="Times New Roman" w:cs="Times New Roman"/>
          <w:sz w:val="24"/>
          <w:szCs w:val="24"/>
        </w:rPr>
        <w:t xml:space="preserve"> the number and status of</w:t>
      </w:r>
      <w:r w:rsidR="004E73E1">
        <w:rPr>
          <w:rFonts w:ascii="Times New Roman" w:hAnsi="Times New Roman" w:cs="Times New Roman"/>
          <w:sz w:val="24"/>
          <w:szCs w:val="24"/>
        </w:rPr>
        <w:t xml:space="preserve"> current and historic claims</w:t>
      </w:r>
      <w:r w:rsidR="000023D0">
        <w:rPr>
          <w:rFonts w:ascii="Times New Roman" w:hAnsi="Times New Roman" w:cs="Times New Roman"/>
          <w:sz w:val="24"/>
          <w:szCs w:val="24"/>
        </w:rPr>
        <w:t xml:space="preserve">, publishes </w:t>
      </w:r>
      <w:r w:rsidR="000023D0" w:rsidRPr="0024344B">
        <w:rPr>
          <w:rFonts w:ascii="Times New Roman" w:hAnsi="Times New Roman" w:cs="Times New Roman"/>
          <w:bCs/>
          <w:sz w:val="24"/>
          <w:szCs w:val="24"/>
          <w:lang w:val="en-GB"/>
        </w:rPr>
        <w:t>information about individual complaint decisions</w:t>
      </w:r>
      <w:r w:rsidR="000023D0">
        <w:rPr>
          <w:rFonts w:ascii="Times New Roman" w:hAnsi="Times New Roman" w:cs="Times New Roman"/>
          <w:b/>
          <w:bCs/>
          <w:sz w:val="24"/>
          <w:szCs w:val="24"/>
          <w:lang w:val="en-GB"/>
        </w:rPr>
        <w:t xml:space="preserve"> </w:t>
      </w:r>
      <w:r w:rsidR="004E73E1">
        <w:rPr>
          <w:rFonts w:ascii="Times New Roman" w:hAnsi="Times New Roman" w:cs="Times New Roman"/>
          <w:sz w:val="24"/>
          <w:szCs w:val="24"/>
        </w:rPr>
        <w:t xml:space="preserve">and </w:t>
      </w:r>
      <w:r w:rsidR="009B1A99">
        <w:rPr>
          <w:rFonts w:ascii="Times New Roman" w:hAnsi="Times New Roman" w:cs="Times New Roman"/>
          <w:sz w:val="24"/>
          <w:szCs w:val="24"/>
        </w:rPr>
        <w:t>conducts</w:t>
      </w:r>
      <w:r w:rsidR="0047223E">
        <w:rPr>
          <w:rFonts w:ascii="Times New Roman" w:hAnsi="Times New Roman" w:cs="Times New Roman"/>
          <w:sz w:val="24"/>
          <w:szCs w:val="24"/>
        </w:rPr>
        <w:t xml:space="preserve"> </w:t>
      </w:r>
      <w:r w:rsidR="004E73E1">
        <w:rPr>
          <w:rFonts w:ascii="Times New Roman" w:hAnsi="Times New Roman" w:cs="Times New Roman"/>
          <w:sz w:val="24"/>
          <w:szCs w:val="24"/>
        </w:rPr>
        <w:t xml:space="preserve">analysis </w:t>
      </w:r>
      <w:r w:rsidR="0047223E">
        <w:rPr>
          <w:rFonts w:ascii="Times New Roman" w:hAnsi="Times New Roman" w:cs="Times New Roman"/>
          <w:sz w:val="24"/>
          <w:szCs w:val="24"/>
        </w:rPr>
        <w:t xml:space="preserve">of </w:t>
      </w:r>
      <w:r w:rsidR="008C48FE">
        <w:rPr>
          <w:rFonts w:ascii="Times New Roman" w:hAnsi="Times New Roman" w:cs="Times New Roman"/>
          <w:sz w:val="24"/>
          <w:szCs w:val="24"/>
        </w:rPr>
        <w:t>complaints received.</w:t>
      </w:r>
      <w:r w:rsidR="008C48FE" w:rsidRPr="008C48FE">
        <w:rPr>
          <w:rStyle w:val="FootnoteReference"/>
          <w:rFonts w:ascii="Times New Roman" w:hAnsi="Times New Roman" w:cs="Times New Roman"/>
          <w:sz w:val="24"/>
          <w:szCs w:val="24"/>
        </w:rPr>
        <w:t xml:space="preserve"> </w:t>
      </w:r>
      <w:r w:rsidR="008C48FE">
        <w:rPr>
          <w:rStyle w:val="FootnoteReference"/>
          <w:rFonts w:ascii="Times New Roman" w:hAnsi="Times New Roman" w:cs="Times New Roman"/>
          <w:sz w:val="24"/>
          <w:szCs w:val="24"/>
        </w:rPr>
        <w:footnoteReference w:id="50"/>
      </w:r>
      <w:r w:rsidR="008C48FE">
        <w:rPr>
          <w:rFonts w:ascii="Times New Roman" w:hAnsi="Times New Roman" w:cs="Times New Roman"/>
          <w:sz w:val="24"/>
          <w:szCs w:val="24"/>
        </w:rPr>
        <w:t xml:space="preserve">  </w:t>
      </w:r>
      <w:r w:rsidR="00FD035A">
        <w:rPr>
          <w:rFonts w:ascii="Times New Roman" w:hAnsi="Times New Roman" w:cs="Times New Roman"/>
          <w:sz w:val="24"/>
          <w:szCs w:val="24"/>
        </w:rPr>
        <w:t xml:space="preserve">Our own analysis found that RSPO provides more details about complaint decisions than any other MSI. </w:t>
      </w:r>
      <w:r w:rsidR="008C48FE">
        <w:rPr>
          <w:rFonts w:ascii="Times New Roman" w:hAnsi="Times New Roman" w:cs="Times New Roman"/>
          <w:sz w:val="24"/>
          <w:szCs w:val="24"/>
        </w:rPr>
        <w:t>In terms of equitability, RSPO is one of only three MSIs that offers complainants both access to an advocate or other forms of assistance and a translation service.</w:t>
      </w:r>
      <w:r w:rsidR="008C48FE">
        <w:rPr>
          <w:rStyle w:val="FootnoteReference"/>
          <w:rFonts w:ascii="Times New Roman" w:hAnsi="Times New Roman" w:cs="Times New Roman"/>
          <w:sz w:val="24"/>
          <w:szCs w:val="24"/>
        </w:rPr>
        <w:footnoteReference w:id="51"/>
      </w:r>
      <w:r w:rsidR="008C48FE">
        <w:rPr>
          <w:rFonts w:ascii="Times New Roman" w:hAnsi="Times New Roman" w:cs="Times New Roman"/>
          <w:sz w:val="24"/>
          <w:szCs w:val="24"/>
        </w:rPr>
        <w:t xml:space="preserve"> </w:t>
      </w:r>
      <w:r w:rsidR="00CF3326">
        <w:rPr>
          <w:rFonts w:ascii="Times New Roman" w:hAnsi="Times New Roman" w:cs="Times New Roman"/>
          <w:sz w:val="24"/>
          <w:szCs w:val="24"/>
        </w:rPr>
        <w:t xml:space="preserve">In terms of accessibility, RSPO is one of </w:t>
      </w:r>
      <w:r w:rsidR="00CF3326">
        <w:rPr>
          <w:rFonts w:ascii="Times New Roman" w:hAnsi="Times New Roman" w:cs="Times New Roman"/>
          <w:sz w:val="24"/>
          <w:szCs w:val="24"/>
          <w:lang w:val="en-GB"/>
        </w:rPr>
        <w:t>only 6 MSIs which</w:t>
      </w:r>
      <w:r w:rsidR="00CF3326" w:rsidRPr="00CF3326">
        <w:rPr>
          <w:rFonts w:ascii="Times New Roman" w:hAnsi="Times New Roman" w:cs="Times New Roman"/>
          <w:sz w:val="24"/>
          <w:szCs w:val="24"/>
          <w:lang w:val="en-GB"/>
        </w:rPr>
        <w:t xml:space="preserve"> explicitly require</w:t>
      </w:r>
      <w:r w:rsidR="009B1A99">
        <w:rPr>
          <w:rFonts w:ascii="Times New Roman" w:hAnsi="Times New Roman" w:cs="Times New Roman"/>
          <w:sz w:val="24"/>
          <w:szCs w:val="24"/>
          <w:lang w:val="en-GB"/>
        </w:rPr>
        <w:t>s</w:t>
      </w:r>
      <w:r w:rsidR="00CF3326" w:rsidRPr="00CF3326">
        <w:rPr>
          <w:rFonts w:ascii="Times New Roman" w:hAnsi="Times New Roman" w:cs="Times New Roman"/>
          <w:sz w:val="24"/>
          <w:szCs w:val="24"/>
          <w:lang w:val="en-GB"/>
        </w:rPr>
        <w:t xml:space="preserve"> potential complainants </w:t>
      </w:r>
      <w:r w:rsidR="00CF3326">
        <w:rPr>
          <w:rFonts w:ascii="Times New Roman" w:hAnsi="Times New Roman" w:cs="Times New Roman"/>
          <w:sz w:val="24"/>
          <w:szCs w:val="24"/>
          <w:lang w:val="en-GB"/>
        </w:rPr>
        <w:t xml:space="preserve">to </w:t>
      </w:r>
      <w:r w:rsidR="00CF3326" w:rsidRPr="00CF3326">
        <w:rPr>
          <w:rFonts w:ascii="Times New Roman" w:hAnsi="Times New Roman" w:cs="Times New Roman"/>
          <w:sz w:val="24"/>
          <w:szCs w:val="24"/>
          <w:lang w:val="en-GB"/>
        </w:rPr>
        <w:t>be given information about the complaint process</w:t>
      </w:r>
      <w:r w:rsidR="00CF3326">
        <w:rPr>
          <w:rFonts w:ascii="Times New Roman" w:hAnsi="Times New Roman" w:cs="Times New Roman"/>
          <w:sz w:val="24"/>
          <w:szCs w:val="24"/>
          <w:lang w:val="en-GB"/>
        </w:rPr>
        <w:t>, and one of only 12 that guarantees anonymity to the complainant</w:t>
      </w:r>
      <w:r w:rsidR="00CF3326" w:rsidRPr="00CF3326">
        <w:rPr>
          <w:rFonts w:ascii="Times New Roman" w:hAnsi="Times New Roman" w:cs="Times New Roman"/>
          <w:sz w:val="24"/>
          <w:szCs w:val="24"/>
          <w:lang w:val="en-GB"/>
        </w:rPr>
        <w:t>.</w:t>
      </w:r>
      <w:r w:rsidR="00CF3326">
        <w:rPr>
          <w:rStyle w:val="FootnoteReference"/>
          <w:rFonts w:ascii="Times New Roman" w:hAnsi="Times New Roman" w:cs="Times New Roman"/>
          <w:sz w:val="24"/>
          <w:szCs w:val="24"/>
          <w:lang w:val="en-GB"/>
        </w:rPr>
        <w:footnoteReference w:id="52"/>
      </w:r>
      <w:r w:rsidR="00CF3326" w:rsidRPr="00CF3326">
        <w:rPr>
          <w:rFonts w:ascii="Times New Roman" w:hAnsi="Times New Roman" w:cs="Times New Roman"/>
          <w:sz w:val="24"/>
          <w:szCs w:val="24"/>
          <w:lang w:val="en-GB"/>
        </w:rPr>
        <w:t xml:space="preserve"> </w:t>
      </w:r>
      <w:r w:rsidR="000023D0">
        <w:rPr>
          <w:rFonts w:ascii="Times New Roman" w:hAnsi="Times New Roman" w:cs="Times New Roman"/>
          <w:sz w:val="24"/>
          <w:szCs w:val="24"/>
          <w:lang w:val="en-GB"/>
        </w:rPr>
        <w:t xml:space="preserve">In terms of predictability, </w:t>
      </w:r>
      <w:r w:rsidR="000023D0">
        <w:rPr>
          <w:rFonts w:ascii="Times New Roman" w:hAnsi="Times New Roman" w:cs="Times New Roman"/>
          <w:sz w:val="24"/>
          <w:szCs w:val="24"/>
        </w:rPr>
        <w:t>unlike most other MSIs, RSPO does specify e</w:t>
      </w:r>
      <w:r w:rsidR="000023D0" w:rsidRPr="000023D0">
        <w:rPr>
          <w:rFonts w:ascii="Times New Roman" w:hAnsi="Times New Roman" w:cs="Times New Roman"/>
          <w:sz w:val="24"/>
          <w:szCs w:val="24"/>
        </w:rPr>
        <w:t>xpected t</w:t>
      </w:r>
      <w:r w:rsidR="000023D0">
        <w:rPr>
          <w:rFonts w:ascii="Times New Roman" w:hAnsi="Times New Roman" w:cs="Times New Roman"/>
          <w:sz w:val="24"/>
          <w:szCs w:val="24"/>
        </w:rPr>
        <w:t>imeframes</w:t>
      </w:r>
      <w:r w:rsidR="000023D0" w:rsidRPr="000023D0">
        <w:rPr>
          <w:rFonts w:ascii="Times New Roman" w:hAnsi="Times New Roman" w:cs="Times New Roman"/>
          <w:sz w:val="24"/>
          <w:szCs w:val="24"/>
        </w:rPr>
        <w:t xml:space="preserve"> for most stages of the complaints process.</w:t>
      </w:r>
      <w:r w:rsidR="000023D0" w:rsidRPr="000023D0">
        <w:rPr>
          <w:rFonts w:ascii="Times New Roman" w:hAnsi="Times New Roman" w:cs="Times New Roman"/>
          <w:sz w:val="24"/>
          <w:szCs w:val="24"/>
          <w:vertAlign w:val="superscript"/>
        </w:rPr>
        <w:footnoteReference w:id="53"/>
      </w:r>
      <w:r w:rsidR="009B1A99">
        <w:rPr>
          <w:rFonts w:ascii="Times New Roman" w:hAnsi="Times New Roman" w:cs="Times New Roman"/>
          <w:sz w:val="24"/>
          <w:szCs w:val="24"/>
        </w:rPr>
        <w:t xml:space="preserve"> In terms of legitimacy, it is one of 20 MSI complaint mechanisms which has an explicit conflict of interest policy which states how it </w:t>
      </w:r>
      <w:r w:rsidR="009B1A99" w:rsidRPr="009B1A99">
        <w:rPr>
          <w:rFonts w:ascii="Times New Roman" w:hAnsi="Times New Roman" w:cs="Times New Roman"/>
          <w:sz w:val="24"/>
          <w:szCs w:val="24"/>
          <w:lang w:val="en-GB"/>
        </w:rPr>
        <w:t>ensure</w:t>
      </w:r>
      <w:r w:rsidR="009B1A99">
        <w:rPr>
          <w:rFonts w:ascii="Times New Roman" w:hAnsi="Times New Roman" w:cs="Times New Roman"/>
          <w:sz w:val="24"/>
          <w:szCs w:val="24"/>
          <w:lang w:val="en-GB"/>
        </w:rPr>
        <w:t>s</w:t>
      </w:r>
      <w:r w:rsidR="009B1A99" w:rsidRPr="009B1A99">
        <w:rPr>
          <w:rFonts w:ascii="Times New Roman" w:hAnsi="Times New Roman" w:cs="Times New Roman"/>
          <w:sz w:val="24"/>
          <w:szCs w:val="24"/>
          <w:lang w:val="en-GB"/>
        </w:rPr>
        <w:t xml:space="preserve"> that the decision-maker is free from any interest in the outcome.</w:t>
      </w:r>
      <w:r w:rsidR="009B1A99">
        <w:rPr>
          <w:rStyle w:val="FootnoteReference"/>
          <w:rFonts w:ascii="Times New Roman" w:hAnsi="Times New Roman" w:cs="Times New Roman"/>
          <w:sz w:val="24"/>
          <w:szCs w:val="24"/>
          <w:lang w:val="en-GB"/>
        </w:rPr>
        <w:footnoteReference w:id="54"/>
      </w:r>
      <w:r w:rsidR="009B1A99">
        <w:rPr>
          <w:rFonts w:ascii="Times New Roman" w:hAnsi="Times New Roman" w:cs="Times New Roman"/>
          <w:sz w:val="24"/>
          <w:szCs w:val="24"/>
          <w:lang w:val="en-GB"/>
        </w:rPr>
        <w:t xml:space="preserve"> </w:t>
      </w:r>
    </w:p>
    <w:p w14:paraId="31297C3A" w14:textId="2E9B74A6" w:rsidR="00307D5B" w:rsidRDefault="00307D5B"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lang w:val="en-GB"/>
        </w:rPr>
        <w:t xml:space="preserve">Analysis undertaken of other types of NSBGMs reveals that </w:t>
      </w:r>
      <w:r w:rsidR="00DB5EE1">
        <w:rPr>
          <w:rFonts w:ascii="Times New Roman" w:hAnsi="Times New Roman" w:cs="Times New Roman"/>
          <w:sz w:val="24"/>
          <w:szCs w:val="24"/>
          <w:lang w:val="en-GB"/>
        </w:rPr>
        <w:t>the</w:t>
      </w:r>
      <w:r w:rsidR="00774DDD">
        <w:rPr>
          <w:rFonts w:ascii="Times New Roman" w:hAnsi="Times New Roman" w:cs="Times New Roman"/>
          <w:sz w:val="24"/>
          <w:szCs w:val="24"/>
          <w:lang w:val="en-GB"/>
        </w:rPr>
        <w:t xml:space="preserve"> majority of</w:t>
      </w:r>
      <w:r>
        <w:rPr>
          <w:rFonts w:ascii="Times New Roman" w:hAnsi="Times New Roman" w:cs="Times New Roman"/>
          <w:sz w:val="24"/>
          <w:szCs w:val="24"/>
          <w:lang w:val="en-GB"/>
        </w:rPr>
        <w:t xml:space="preserve"> </w:t>
      </w:r>
      <w:r w:rsidRPr="00307D5B">
        <w:rPr>
          <w:rFonts w:ascii="Times New Roman" w:hAnsi="Times New Roman" w:cs="Times New Roman"/>
          <w:sz w:val="24"/>
          <w:szCs w:val="24"/>
        </w:rPr>
        <w:t>companies’ operati</w:t>
      </w:r>
      <w:r>
        <w:rPr>
          <w:rFonts w:ascii="Times New Roman" w:hAnsi="Times New Roman" w:cs="Times New Roman"/>
          <w:sz w:val="24"/>
          <w:szCs w:val="24"/>
        </w:rPr>
        <w:t>onal level grievance mechanisms and</w:t>
      </w:r>
      <w:r w:rsidRPr="00307D5B">
        <w:rPr>
          <w:rFonts w:ascii="Times New Roman" w:hAnsi="Times New Roman" w:cs="Times New Roman"/>
          <w:sz w:val="24"/>
          <w:szCs w:val="24"/>
        </w:rPr>
        <w:t xml:space="preserve"> development bank complaint</w:t>
      </w:r>
      <w:r w:rsidR="00DB5EE1">
        <w:rPr>
          <w:rFonts w:ascii="Times New Roman" w:hAnsi="Times New Roman" w:cs="Times New Roman"/>
          <w:sz w:val="24"/>
          <w:szCs w:val="24"/>
        </w:rPr>
        <w:t>s</w:t>
      </w:r>
      <w:r w:rsidRPr="00307D5B">
        <w:rPr>
          <w:rFonts w:ascii="Times New Roman" w:hAnsi="Times New Roman" w:cs="Times New Roman"/>
          <w:sz w:val="24"/>
          <w:szCs w:val="24"/>
        </w:rPr>
        <w:t xml:space="preserve"> mechanisms</w:t>
      </w:r>
      <w:r>
        <w:rPr>
          <w:rFonts w:ascii="Times New Roman" w:hAnsi="Times New Roman" w:cs="Times New Roman"/>
          <w:sz w:val="24"/>
          <w:szCs w:val="24"/>
        </w:rPr>
        <w:t xml:space="preserve"> </w:t>
      </w:r>
      <w:r w:rsidR="00C20151">
        <w:rPr>
          <w:rFonts w:ascii="Times New Roman" w:hAnsi="Times New Roman" w:cs="Times New Roman"/>
          <w:sz w:val="24"/>
          <w:szCs w:val="24"/>
        </w:rPr>
        <w:t>also perform</w:t>
      </w:r>
      <w:r w:rsidR="00774DDD">
        <w:rPr>
          <w:rFonts w:ascii="Times New Roman" w:hAnsi="Times New Roman" w:cs="Times New Roman"/>
          <w:sz w:val="24"/>
          <w:szCs w:val="24"/>
        </w:rPr>
        <w:t xml:space="preserve"> </w:t>
      </w:r>
      <w:r w:rsidR="00DB5EE1">
        <w:rPr>
          <w:rFonts w:ascii="Times New Roman" w:hAnsi="Times New Roman" w:cs="Times New Roman"/>
          <w:sz w:val="24"/>
          <w:szCs w:val="24"/>
        </w:rPr>
        <w:t>poorly when measured against the UNGP’s effectiveness criteria.</w:t>
      </w:r>
      <w:r w:rsidR="00DB5EE1">
        <w:rPr>
          <w:rStyle w:val="FootnoteReference"/>
          <w:rFonts w:ascii="Times New Roman" w:hAnsi="Times New Roman" w:cs="Times New Roman"/>
          <w:sz w:val="24"/>
          <w:szCs w:val="24"/>
        </w:rPr>
        <w:footnoteReference w:id="55"/>
      </w:r>
      <w:r w:rsidR="00DB5EE1">
        <w:rPr>
          <w:rFonts w:ascii="Times New Roman" w:hAnsi="Times New Roman" w:cs="Times New Roman"/>
          <w:sz w:val="24"/>
          <w:szCs w:val="24"/>
        </w:rPr>
        <w:t xml:space="preserve"> Particularly in terms of accessibility, transparency, equitability and legitimacy, there are very few grievance </w:t>
      </w:r>
      <w:r w:rsidR="00DB5EE1">
        <w:rPr>
          <w:rFonts w:ascii="Times New Roman" w:hAnsi="Times New Roman" w:cs="Times New Roman"/>
          <w:sz w:val="24"/>
          <w:szCs w:val="24"/>
        </w:rPr>
        <w:lastRenderedPageBreak/>
        <w:t>mechanisms that are comparable to RSPO.</w:t>
      </w:r>
      <w:r w:rsidR="00DB5EE1">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w:t>
      </w:r>
      <w:r w:rsidR="00C20151">
        <w:rPr>
          <w:rFonts w:ascii="Times New Roman" w:hAnsi="Times New Roman" w:cs="Times New Roman"/>
          <w:sz w:val="24"/>
          <w:szCs w:val="24"/>
        </w:rPr>
        <w:t xml:space="preserve">Overall then, it is reasonable to conclude that RSPO performs well when compared to other NSBGMs according to the UNGPs’ effectiveness criteria.  </w:t>
      </w:r>
      <w:r>
        <w:rPr>
          <w:rFonts w:ascii="Times New Roman" w:hAnsi="Times New Roman" w:cs="Times New Roman"/>
          <w:sz w:val="24"/>
          <w:szCs w:val="24"/>
          <w:lang w:val="en-GB"/>
        </w:rPr>
        <w:t xml:space="preserve">  </w:t>
      </w:r>
    </w:p>
    <w:p w14:paraId="551BA0BA" w14:textId="5F0CA678" w:rsidR="00913556" w:rsidRPr="001659DC" w:rsidRDefault="00530277" w:rsidP="001659DC">
      <w:pPr>
        <w:pStyle w:val="ListParagraph"/>
        <w:numPr>
          <w:ilvl w:val="0"/>
          <w:numId w:val="1"/>
        </w:numPr>
        <w:spacing w:line="360" w:lineRule="auto"/>
        <w:jc w:val="center"/>
        <w:rPr>
          <w:rFonts w:ascii="Times New Roman" w:hAnsi="Times New Roman" w:cs="Times New Roman"/>
          <w:smallCaps/>
          <w:sz w:val="28"/>
          <w:szCs w:val="28"/>
        </w:rPr>
      </w:pPr>
      <w:r w:rsidRPr="001659DC">
        <w:rPr>
          <w:rFonts w:ascii="Times New Roman" w:hAnsi="Times New Roman" w:cs="Times New Roman"/>
          <w:smallCaps/>
          <w:sz w:val="28"/>
          <w:szCs w:val="28"/>
        </w:rPr>
        <w:t xml:space="preserve">Approach and </w:t>
      </w:r>
      <w:r w:rsidR="00667A42" w:rsidRPr="001659DC">
        <w:rPr>
          <w:rFonts w:ascii="Times New Roman" w:hAnsi="Times New Roman" w:cs="Times New Roman"/>
          <w:smallCaps/>
          <w:sz w:val="28"/>
          <w:szCs w:val="28"/>
        </w:rPr>
        <w:t>Methodology</w:t>
      </w:r>
    </w:p>
    <w:p w14:paraId="56440348" w14:textId="75F53665" w:rsidR="0048026F" w:rsidRDefault="008A77E5" w:rsidP="001659DC">
      <w:pPr>
        <w:spacing w:line="360" w:lineRule="auto"/>
        <w:ind w:firstLine="360"/>
        <w:rPr>
          <w:rFonts w:ascii="Times New Roman" w:hAnsi="Times New Roman" w:cs="Times New Roman"/>
          <w:sz w:val="24"/>
          <w:szCs w:val="24"/>
        </w:rPr>
      </w:pPr>
      <w:r w:rsidRPr="0024344B">
        <w:rPr>
          <w:rFonts w:ascii="Times New Roman" w:hAnsi="Times New Roman" w:cs="Times New Roman"/>
          <w:sz w:val="24"/>
          <w:szCs w:val="24"/>
        </w:rPr>
        <w:t xml:space="preserve">We sought to </w:t>
      </w:r>
      <w:r w:rsidR="00F56F92">
        <w:rPr>
          <w:rFonts w:ascii="Times New Roman" w:hAnsi="Times New Roman" w:cs="Times New Roman"/>
          <w:sz w:val="24"/>
          <w:szCs w:val="24"/>
        </w:rPr>
        <w:t>investigate</w:t>
      </w:r>
      <w:r w:rsidRPr="0024344B">
        <w:rPr>
          <w:rFonts w:ascii="Times New Roman" w:hAnsi="Times New Roman" w:cs="Times New Roman"/>
          <w:sz w:val="24"/>
          <w:szCs w:val="24"/>
        </w:rPr>
        <w:t xml:space="preserve"> the extent to which the RSPO complaints mechanism provides an eff</w:t>
      </w:r>
      <w:r w:rsidR="005A5357" w:rsidRPr="00437D56">
        <w:rPr>
          <w:rFonts w:ascii="Times New Roman" w:hAnsi="Times New Roman" w:cs="Times New Roman"/>
          <w:sz w:val="24"/>
          <w:szCs w:val="24"/>
        </w:rPr>
        <w:t xml:space="preserve">ective </w:t>
      </w:r>
      <w:r w:rsidR="00E62350">
        <w:rPr>
          <w:rFonts w:ascii="Times New Roman" w:hAnsi="Times New Roman" w:cs="Times New Roman"/>
          <w:sz w:val="24"/>
          <w:szCs w:val="24"/>
        </w:rPr>
        <w:t xml:space="preserve">substantive </w:t>
      </w:r>
      <w:r w:rsidR="005A5357" w:rsidRPr="00437D56">
        <w:rPr>
          <w:rFonts w:ascii="Times New Roman" w:hAnsi="Times New Roman" w:cs="Times New Roman"/>
          <w:sz w:val="24"/>
          <w:szCs w:val="24"/>
        </w:rPr>
        <w:t>remedy in terms of the outcomes achieved</w:t>
      </w:r>
      <w:r w:rsidR="005A5357">
        <w:rPr>
          <w:rFonts w:ascii="Times New Roman" w:hAnsi="Times New Roman" w:cs="Times New Roman"/>
          <w:sz w:val="24"/>
          <w:szCs w:val="24"/>
        </w:rPr>
        <w:t xml:space="preserve"> for rightsholders</w:t>
      </w:r>
      <w:r w:rsidR="005A5357" w:rsidRPr="00437D56">
        <w:rPr>
          <w:rFonts w:ascii="Times New Roman" w:hAnsi="Times New Roman" w:cs="Times New Roman"/>
          <w:sz w:val="24"/>
          <w:szCs w:val="24"/>
        </w:rPr>
        <w:t xml:space="preserve">. In so doing we relied upon </w:t>
      </w:r>
      <w:r w:rsidR="00E62350">
        <w:rPr>
          <w:rFonts w:ascii="Times New Roman" w:hAnsi="Times New Roman" w:cs="Times New Roman"/>
          <w:sz w:val="24"/>
          <w:szCs w:val="24"/>
        </w:rPr>
        <w:t xml:space="preserve">the way in which effective substantive remedy is defined by the UN Guiding Principles and the way it is subsequently elaborated by the UN Working Group. </w:t>
      </w:r>
      <w:r w:rsidRPr="0024344B">
        <w:rPr>
          <w:rFonts w:ascii="Times New Roman" w:hAnsi="Times New Roman" w:cs="Times New Roman"/>
          <w:sz w:val="24"/>
          <w:szCs w:val="24"/>
        </w:rPr>
        <w:t>The</w:t>
      </w:r>
      <w:r w:rsidR="00E62350" w:rsidRPr="00437D56">
        <w:rPr>
          <w:rFonts w:ascii="Times New Roman" w:hAnsi="Times New Roman" w:cs="Times New Roman"/>
          <w:sz w:val="24"/>
          <w:szCs w:val="24"/>
        </w:rPr>
        <w:t xml:space="preserve"> UN Guiding Principles</w:t>
      </w:r>
      <w:r w:rsidRPr="0024344B">
        <w:rPr>
          <w:rFonts w:ascii="Times New Roman" w:hAnsi="Times New Roman" w:cs="Times New Roman"/>
          <w:sz w:val="24"/>
          <w:szCs w:val="24"/>
        </w:rPr>
        <w:t xml:space="preserve"> defines effective substantive remedy as one which will “counteract or make good any human rights harms that have occurred.”</w:t>
      </w:r>
      <w:r w:rsidRPr="0024344B">
        <w:rPr>
          <w:rStyle w:val="FootnoteReference"/>
          <w:rFonts w:ascii="Times New Roman" w:hAnsi="Times New Roman" w:cs="Times New Roman"/>
          <w:sz w:val="24"/>
          <w:szCs w:val="24"/>
        </w:rPr>
        <w:footnoteReference w:id="57"/>
      </w:r>
      <w:r w:rsidR="00E62350" w:rsidRPr="00437D56">
        <w:rPr>
          <w:rFonts w:ascii="Times New Roman" w:hAnsi="Times New Roman" w:cs="Times New Roman"/>
          <w:sz w:val="24"/>
          <w:szCs w:val="24"/>
        </w:rPr>
        <w:t xml:space="preserve"> This may be achieved through such </w:t>
      </w:r>
      <w:r w:rsidR="00E62350">
        <w:rPr>
          <w:rFonts w:ascii="Times New Roman" w:hAnsi="Times New Roman" w:cs="Times New Roman"/>
          <w:sz w:val="24"/>
          <w:szCs w:val="24"/>
        </w:rPr>
        <w:t>remedies</w:t>
      </w:r>
      <w:r w:rsidR="00E62350" w:rsidRPr="00437D56">
        <w:rPr>
          <w:rFonts w:ascii="Times New Roman" w:hAnsi="Times New Roman" w:cs="Times New Roman"/>
          <w:sz w:val="24"/>
          <w:szCs w:val="24"/>
        </w:rPr>
        <w:t xml:space="preserve"> as</w:t>
      </w:r>
      <w:r w:rsidRPr="0024344B">
        <w:rPr>
          <w:rFonts w:ascii="Times New Roman" w:hAnsi="Times New Roman" w:cs="Times New Roman"/>
          <w:sz w:val="24"/>
          <w:szCs w:val="24"/>
        </w:rPr>
        <w:t xml:space="preserve"> “apologies, restitution, rehabilitation, financial or non-financial compensation and punitive sanctions (whether criminal or administrative, such as fines), as well as the prevention of harm through, for example, injunctions or guarantees of non-repetition.”</w:t>
      </w:r>
      <w:r w:rsidRPr="0024344B">
        <w:rPr>
          <w:rStyle w:val="FootnoteReference"/>
          <w:rFonts w:ascii="Times New Roman" w:hAnsi="Times New Roman" w:cs="Times New Roman"/>
          <w:sz w:val="24"/>
          <w:szCs w:val="24"/>
        </w:rPr>
        <w:footnoteReference w:id="58"/>
      </w:r>
      <w:r w:rsidRPr="0024344B">
        <w:rPr>
          <w:rFonts w:ascii="Times New Roman" w:hAnsi="Times New Roman" w:cs="Times New Roman"/>
          <w:sz w:val="24"/>
          <w:szCs w:val="24"/>
        </w:rPr>
        <w:t xml:space="preserve"> In their July 2017 Report, the UN Working Group “unpacks the concept of access to effective remedies” under the UN Guiding Principles.</w:t>
      </w:r>
      <w:r w:rsidRPr="0024344B">
        <w:rPr>
          <w:rStyle w:val="FootnoteReference"/>
          <w:rFonts w:ascii="Times New Roman" w:hAnsi="Times New Roman" w:cs="Times New Roman"/>
          <w:sz w:val="24"/>
          <w:szCs w:val="24"/>
        </w:rPr>
        <w:footnoteReference w:id="59"/>
      </w:r>
      <w:r w:rsidR="00E4346A" w:rsidRPr="00437D56">
        <w:rPr>
          <w:rFonts w:ascii="Times New Roman" w:hAnsi="Times New Roman" w:cs="Times New Roman"/>
          <w:sz w:val="24"/>
          <w:szCs w:val="24"/>
        </w:rPr>
        <w:t xml:space="preserve"> The UN Working Group states that</w:t>
      </w:r>
      <w:r w:rsidRPr="0024344B">
        <w:rPr>
          <w:rFonts w:ascii="Times New Roman" w:hAnsi="Times New Roman" w:cs="Times New Roman"/>
          <w:sz w:val="24"/>
          <w:szCs w:val="24"/>
        </w:rPr>
        <w:t xml:space="preserve"> “merely providing access to remedial mechanisms will not suffice: there should be an effective remedy in practice at the end of the process.”</w:t>
      </w:r>
      <w:r w:rsidRPr="0024344B">
        <w:rPr>
          <w:rStyle w:val="FootnoteReference"/>
          <w:rFonts w:ascii="Times New Roman" w:hAnsi="Times New Roman" w:cs="Times New Roman"/>
          <w:sz w:val="24"/>
          <w:szCs w:val="24"/>
        </w:rPr>
        <w:footnoteReference w:id="60"/>
      </w:r>
      <w:r w:rsidRPr="0024344B">
        <w:rPr>
          <w:rFonts w:ascii="Times New Roman" w:hAnsi="Times New Roman" w:cs="Times New Roman"/>
          <w:sz w:val="24"/>
          <w:szCs w:val="24"/>
        </w:rPr>
        <w:t xml:space="preserve"> It notes that the aim of remedy is “to place an aggrieved party in the same position as he or she would have been had no injury occurred.”</w:t>
      </w:r>
      <w:r w:rsidRPr="0024344B">
        <w:rPr>
          <w:rStyle w:val="FootnoteReference"/>
          <w:rFonts w:ascii="Times New Roman" w:hAnsi="Times New Roman" w:cs="Times New Roman"/>
          <w:sz w:val="24"/>
          <w:szCs w:val="24"/>
        </w:rPr>
        <w:footnoteReference w:id="61"/>
      </w:r>
      <w:r w:rsidRPr="0024344B">
        <w:rPr>
          <w:rFonts w:ascii="Times New Roman" w:hAnsi="Times New Roman" w:cs="Times New Roman"/>
          <w:sz w:val="24"/>
          <w:szCs w:val="24"/>
        </w:rPr>
        <w:t xml:space="preserve"> The Report goes on to explain that effective remedy combines the related elements of prevention, redress and deterrence, and discusses restitution, compensation, rehabilitation, satisfaction, guarantees of non-repetition, as </w:t>
      </w:r>
      <w:r w:rsidRPr="0024344B">
        <w:rPr>
          <w:rFonts w:ascii="Times New Roman" w:hAnsi="Times New Roman" w:cs="Times New Roman"/>
          <w:sz w:val="24"/>
          <w:szCs w:val="24"/>
        </w:rPr>
        <w:lastRenderedPageBreak/>
        <w:t>well as other remedies.</w:t>
      </w:r>
      <w:r w:rsidRPr="0024344B">
        <w:rPr>
          <w:rStyle w:val="FootnoteReference"/>
          <w:rFonts w:ascii="Times New Roman" w:hAnsi="Times New Roman" w:cs="Times New Roman"/>
          <w:sz w:val="24"/>
          <w:szCs w:val="24"/>
        </w:rPr>
        <w:footnoteReference w:id="62"/>
      </w:r>
      <w:r w:rsidR="00E62350" w:rsidRPr="00437D56">
        <w:rPr>
          <w:rFonts w:ascii="Times New Roman" w:hAnsi="Times New Roman" w:cs="Times New Roman"/>
          <w:sz w:val="24"/>
          <w:szCs w:val="24"/>
        </w:rPr>
        <w:t xml:space="preserve"> T</w:t>
      </w:r>
      <w:r w:rsidRPr="0024344B">
        <w:rPr>
          <w:rFonts w:ascii="Times New Roman" w:hAnsi="Times New Roman" w:cs="Times New Roman"/>
          <w:sz w:val="24"/>
          <w:szCs w:val="24"/>
        </w:rPr>
        <w:t xml:space="preserve">he Report </w:t>
      </w:r>
      <w:r w:rsidR="00E62350">
        <w:rPr>
          <w:rFonts w:ascii="Times New Roman" w:hAnsi="Times New Roman" w:cs="Times New Roman"/>
          <w:sz w:val="24"/>
          <w:szCs w:val="24"/>
        </w:rPr>
        <w:t xml:space="preserve">also </w:t>
      </w:r>
      <w:r w:rsidRPr="0024344B">
        <w:rPr>
          <w:rFonts w:ascii="Times New Roman" w:hAnsi="Times New Roman" w:cs="Times New Roman"/>
          <w:sz w:val="24"/>
          <w:szCs w:val="24"/>
        </w:rPr>
        <w:t>a</w:t>
      </w:r>
      <w:r w:rsidR="00E62350" w:rsidRPr="00437D56">
        <w:rPr>
          <w:rFonts w:ascii="Times New Roman" w:hAnsi="Times New Roman" w:cs="Times New Roman"/>
          <w:sz w:val="24"/>
          <w:szCs w:val="24"/>
        </w:rPr>
        <w:t>sserts</w:t>
      </w:r>
      <w:r w:rsidRPr="0024344B">
        <w:rPr>
          <w:rFonts w:ascii="Times New Roman" w:hAnsi="Times New Roman" w:cs="Times New Roman"/>
          <w:sz w:val="24"/>
          <w:szCs w:val="24"/>
        </w:rPr>
        <w:t xml:space="preserve"> the centrality of rightsholders </w:t>
      </w:r>
      <w:r w:rsidR="00E62350">
        <w:rPr>
          <w:rFonts w:ascii="Times New Roman" w:hAnsi="Times New Roman" w:cs="Times New Roman"/>
          <w:sz w:val="24"/>
          <w:szCs w:val="24"/>
        </w:rPr>
        <w:t xml:space="preserve">in determining whether an effective remedy has occurred </w:t>
      </w:r>
      <w:r w:rsidR="00E62350" w:rsidRPr="00437D56">
        <w:rPr>
          <w:rFonts w:ascii="Times New Roman" w:hAnsi="Times New Roman" w:cs="Times New Roman"/>
          <w:sz w:val="24"/>
          <w:szCs w:val="24"/>
        </w:rPr>
        <w:t>and states that this</w:t>
      </w:r>
      <w:r w:rsidRPr="0024344B">
        <w:rPr>
          <w:rFonts w:ascii="Times New Roman" w:hAnsi="Times New Roman" w:cs="Times New Roman"/>
          <w:sz w:val="24"/>
          <w:szCs w:val="24"/>
        </w:rPr>
        <w:t xml:space="preserve"> requires that “the effectiveness of a remedy should be judged also from the perspective of affected rights holders.”</w:t>
      </w:r>
      <w:r w:rsidRPr="0024344B">
        <w:rPr>
          <w:rStyle w:val="FootnoteReference"/>
          <w:rFonts w:ascii="Times New Roman" w:hAnsi="Times New Roman" w:cs="Times New Roman"/>
          <w:sz w:val="24"/>
          <w:szCs w:val="24"/>
        </w:rPr>
        <w:footnoteReference w:id="63"/>
      </w:r>
    </w:p>
    <w:p w14:paraId="7FB94660" w14:textId="43F0456F" w:rsidR="00E62350" w:rsidRPr="00E62350" w:rsidRDefault="0048026F"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Synthesizing these pronouncements into a</w:t>
      </w:r>
      <w:r w:rsidR="00E62350" w:rsidRPr="00E62350">
        <w:rPr>
          <w:rFonts w:ascii="Times New Roman" w:hAnsi="Times New Roman" w:cs="Times New Roman"/>
          <w:sz w:val="24"/>
          <w:szCs w:val="24"/>
        </w:rPr>
        <w:t xml:space="preserve"> definition of effective remedy</w:t>
      </w:r>
      <w:r>
        <w:rPr>
          <w:rFonts w:ascii="Times New Roman" w:hAnsi="Times New Roman" w:cs="Times New Roman"/>
          <w:sz w:val="24"/>
          <w:szCs w:val="24"/>
        </w:rPr>
        <w:t xml:space="preserve"> that can be utilized in our study we find an effective substantive remedy to occur when there is a</w:t>
      </w:r>
      <w:r w:rsidR="00E62350" w:rsidRPr="00E62350">
        <w:rPr>
          <w:rFonts w:ascii="Times New Roman" w:hAnsi="Times New Roman" w:cs="Times New Roman"/>
          <w:sz w:val="24"/>
          <w:szCs w:val="24"/>
        </w:rPr>
        <w:t>:</w:t>
      </w:r>
    </w:p>
    <w:p w14:paraId="01CDD221" w14:textId="77777777" w:rsidR="00E62350" w:rsidRPr="00E62350" w:rsidRDefault="00E62350" w:rsidP="001659DC">
      <w:pPr>
        <w:numPr>
          <w:ilvl w:val="0"/>
          <w:numId w:val="7"/>
        </w:numPr>
        <w:spacing w:line="360" w:lineRule="auto"/>
        <w:rPr>
          <w:rFonts w:ascii="Times New Roman" w:hAnsi="Times New Roman" w:cs="Times New Roman"/>
          <w:sz w:val="24"/>
          <w:szCs w:val="24"/>
        </w:rPr>
      </w:pPr>
      <w:r w:rsidRPr="00E62350">
        <w:rPr>
          <w:rFonts w:ascii="Times New Roman" w:hAnsi="Times New Roman" w:cs="Times New Roman"/>
          <w:sz w:val="24"/>
          <w:szCs w:val="24"/>
        </w:rPr>
        <w:t>Cessation of the continuing violations of the human rights infringed,</w:t>
      </w:r>
    </w:p>
    <w:p w14:paraId="5002FC34" w14:textId="6D8AA0A5" w:rsidR="00E62350" w:rsidRPr="00E62350" w:rsidRDefault="00E62350" w:rsidP="001659DC">
      <w:pPr>
        <w:numPr>
          <w:ilvl w:val="0"/>
          <w:numId w:val="7"/>
        </w:numPr>
        <w:spacing w:line="360" w:lineRule="auto"/>
        <w:rPr>
          <w:rFonts w:ascii="Times New Roman" w:hAnsi="Times New Roman" w:cs="Times New Roman"/>
          <w:sz w:val="24"/>
          <w:szCs w:val="24"/>
        </w:rPr>
      </w:pPr>
      <w:r w:rsidRPr="00E62350">
        <w:rPr>
          <w:rFonts w:ascii="Times New Roman" w:hAnsi="Times New Roman" w:cs="Times New Roman"/>
          <w:sz w:val="24"/>
          <w:szCs w:val="24"/>
        </w:rPr>
        <w:t>Restoration to the rightholder of full enjoyment of the rights, and/or adequate reparation for the harm suffered due to the lost enjoyment of th</w:t>
      </w:r>
      <w:r w:rsidR="00F53024">
        <w:rPr>
          <w:rFonts w:ascii="Times New Roman" w:hAnsi="Times New Roman" w:cs="Times New Roman"/>
          <w:sz w:val="24"/>
          <w:szCs w:val="24"/>
        </w:rPr>
        <w:t>os</w:t>
      </w:r>
      <w:r w:rsidRPr="00E62350">
        <w:rPr>
          <w:rFonts w:ascii="Times New Roman" w:hAnsi="Times New Roman" w:cs="Times New Roman"/>
          <w:sz w:val="24"/>
          <w:szCs w:val="24"/>
        </w:rPr>
        <w:t>e rights.</w:t>
      </w:r>
    </w:p>
    <w:p w14:paraId="1D0F1BF4" w14:textId="114367AC" w:rsidR="008A77E5" w:rsidRPr="0024344B" w:rsidRDefault="0048026F" w:rsidP="001659DC">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making a determination</w:t>
      </w:r>
      <w:proofErr w:type="gramEnd"/>
      <w:r>
        <w:rPr>
          <w:rFonts w:ascii="Times New Roman" w:hAnsi="Times New Roman" w:cs="Times New Roman"/>
          <w:sz w:val="24"/>
          <w:szCs w:val="24"/>
        </w:rPr>
        <w:t xml:space="preserve"> of whet</w:t>
      </w:r>
      <w:r w:rsidR="001E6383">
        <w:rPr>
          <w:rFonts w:ascii="Times New Roman" w:hAnsi="Times New Roman" w:cs="Times New Roman"/>
          <w:sz w:val="24"/>
          <w:szCs w:val="24"/>
        </w:rPr>
        <w:t>her th</w:t>
      </w:r>
      <w:r w:rsidR="00E4346A">
        <w:rPr>
          <w:rFonts w:ascii="Times New Roman" w:hAnsi="Times New Roman" w:cs="Times New Roman"/>
          <w:sz w:val="24"/>
          <w:szCs w:val="24"/>
        </w:rPr>
        <w:t>ese conditions are</w:t>
      </w:r>
      <w:r w:rsidR="001E6383">
        <w:rPr>
          <w:rFonts w:ascii="Times New Roman" w:hAnsi="Times New Roman" w:cs="Times New Roman"/>
          <w:sz w:val="24"/>
          <w:szCs w:val="24"/>
        </w:rPr>
        <w:t xml:space="preserve"> satisfied</w:t>
      </w:r>
      <w:r>
        <w:rPr>
          <w:rFonts w:ascii="Times New Roman" w:hAnsi="Times New Roman" w:cs="Times New Roman"/>
          <w:sz w:val="24"/>
          <w:szCs w:val="24"/>
        </w:rPr>
        <w:t>,</w:t>
      </w:r>
      <w:r w:rsidR="00EB0825">
        <w:rPr>
          <w:rFonts w:ascii="Times New Roman" w:hAnsi="Times New Roman" w:cs="Times New Roman"/>
          <w:sz w:val="24"/>
          <w:szCs w:val="24"/>
        </w:rPr>
        <w:t xml:space="preserve"> </w:t>
      </w:r>
      <w:r w:rsidR="00D63815">
        <w:rPr>
          <w:rFonts w:ascii="Times New Roman" w:hAnsi="Times New Roman" w:cs="Times New Roman"/>
          <w:sz w:val="24"/>
          <w:szCs w:val="24"/>
        </w:rPr>
        <w:t>our approach involves</w:t>
      </w:r>
      <w:r>
        <w:rPr>
          <w:rFonts w:ascii="Times New Roman" w:hAnsi="Times New Roman" w:cs="Times New Roman"/>
          <w:sz w:val="24"/>
          <w:szCs w:val="24"/>
        </w:rPr>
        <w:t xml:space="preserve"> first </w:t>
      </w:r>
      <w:r w:rsidR="00EB0825">
        <w:rPr>
          <w:rFonts w:ascii="Times New Roman" w:hAnsi="Times New Roman" w:cs="Times New Roman"/>
          <w:sz w:val="24"/>
          <w:szCs w:val="24"/>
        </w:rPr>
        <w:t>inquiring as to</w:t>
      </w:r>
      <w:r w:rsidR="00E4346A">
        <w:rPr>
          <w:rFonts w:ascii="Times New Roman" w:hAnsi="Times New Roman" w:cs="Times New Roman"/>
          <w:sz w:val="24"/>
          <w:szCs w:val="24"/>
        </w:rPr>
        <w:t xml:space="preserve"> whether the relevant authority (in our case the RSPO)</w:t>
      </w:r>
      <w:r w:rsidR="00EB0825">
        <w:rPr>
          <w:rFonts w:ascii="Times New Roman" w:hAnsi="Times New Roman" w:cs="Times New Roman"/>
          <w:sz w:val="24"/>
          <w:szCs w:val="24"/>
        </w:rPr>
        <w:t xml:space="preserve"> its</w:t>
      </w:r>
      <w:r w:rsidR="00D63815">
        <w:rPr>
          <w:rFonts w:ascii="Times New Roman" w:hAnsi="Times New Roman" w:cs="Times New Roman"/>
          <w:sz w:val="24"/>
          <w:szCs w:val="24"/>
        </w:rPr>
        <w:t>elf considers</w:t>
      </w:r>
      <w:r>
        <w:rPr>
          <w:rFonts w:ascii="Times New Roman" w:hAnsi="Times New Roman" w:cs="Times New Roman"/>
          <w:sz w:val="24"/>
          <w:szCs w:val="24"/>
        </w:rPr>
        <w:t xml:space="preserve"> </w:t>
      </w:r>
      <w:r w:rsidR="00EB0825">
        <w:rPr>
          <w:rFonts w:ascii="Times New Roman" w:hAnsi="Times New Roman" w:cs="Times New Roman"/>
          <w:sz w:val="24"/>
          <w:szCs w:val="24"/>
        </w:rPr>
        <w:t xml:space="preserve">that a remedy </w:t>
      </w:r>
      <w:r w:rsidR="00D63815">
        <w:rPr>
          <w:rFonts w:ascii="Times New Roman" w:hAnsi="Times New Roman" w:cs="Times New Roman"/>
          <w:sz w:val="24"/>
          <w:szCs w:val="24"/>
        </w:rPr>
        <w:t>had been provided. Where this is</w:t>
      </w:r>
      <w:r w:rsidR="00EB0825">
        <w:rPr>
          <w:rFonts w:ascii="Times New Roman" w:hAnsi="Times New Roman" w:cs="Times New Roman"/>
          <w:sz w:val="24"/>
          <w:szCs w:val="24"/>
        </w:rPr>
        <w:t xml:space="preserve"> the case,</w:t>
      </w:r>
      <w:r>
        <w:rPr>
          <w:rFonts w:ascii="Times New Roman" w:hAnsi="Times New Roman" w:cs="Times New Roman"/>
          <w:sz w:val="24"/>
          <w:szCs w:val="24"/>
        </w:rPr>
        <w:t xml:space="preserve"> </w:t>
      </w:r>
      <w:r w:rsidR="001E6383">
        <w:rPr>
          <w:rFonts w:ascii="Times New Roman" w:hAnsi="Times New Roman" w:cs="Times New Roman"/>
          <w:sz w:val="24"/>
          <w:szCs w:val="24"/>
        </w:rPr>
        <w:t>w</w:t>
      </w:r>
      <w:r>
        <w:rPr>
          <w:rFonts w:ascii="Times New Roman" w:hAnsi="Times New Roman" w:cs="Times New Roman"/>
          <w:sz w:val="24"/>
          <w:szCs w:val="24"/>
        </w:rPr>
        <w:t>e then consider</w:t>
      </w:r>
      <w:r w:rsidRPr="00E07B7E">
        <w:rPr>
          <w:rFonts w:ascii="Times New Roman" w:hAnsi="Times New Roman" w:cs="Times New Roman"/>
          <w:sz w:val="24"/>
          <w:szCs w:val="24"/>
        </w:rPr>
        <w:t xml:space="preserve"> the outcomes of </w:t>
      </w:r>
      <w:r>
        <w:rPr>
          <w:rFonts w:ascii="Times New Roman" w:hAnsi="Times New Roman" w:cs="Times New Roman"/>
          <w:sz w:val="24"/>
          <w:szCs w:val="24"/>
        </w:rPr>
        <w:t>those cases</w:t>
      </w:r>
      <w:r w:rsidRPr="00E07B7E">
        <w:rPr>
          <w:rFonts w:ascii="Times New Roman" w:hAnsi="Times New Roman" w:cs="Times New Roman"/>
          <w:sz w:val="24"/>
          <w:szCs w:val="24"/>
        </w:rPr>
        <w:t xml:space="preserve"> from the rightsholders</w:t>
      </w:r>
      <w:r>
        <w:rPr>
          <w:rFonts w:ascii="Times New Roman" w:hAnsi="Times New Roman" w:cs="Times New Roman"/>
          <w:sz w:val="24"/>
          <w:szCs w:val="24"/>
        </w:rPr>
        <w:t>’</w:t>
      </w:r>
      <w:r w:rsidRPr="00E07B7E">
        <w:rPr>
          <w:rFonts w:ascii="Times New Roman" w:hAnsi="Times New Roman" w:cs="Times New Roman"/>
          <w:sz w:val="24"/>
          <w:szCs w:val="24"/>
        </w:rPr>
        <w:t xml:space="preserve"> perspective</w:t>
      </w:r>
      <w:r w:rsidR="00D63815">
        <w:rPr>
          <w:rFonts w:ascii="Times New Roman" w:hAnsi="Times New Roman" w:cs="Times New Roman"/>
          <w:sz w:val="24"/>
          <w:szCs w:val="24"/>
        </w:rPr>
        <w:t xml:space="preserve"> to determine whether</w:t>
      </w:r>
      <w:r w:rsidR="00E4346A">
        <w:rPr>
          <w:rFonts w:ascii="Times New Roman" w:hAnsi="Times New Roman" w:cs="Times New Roman"/>
          <w:sz w:val="24"/>
          <w:szCs w:val="24"/>
        </w:rPr>
        <w:t xml:space="preserve"> they consider</w:t>
      </w:r>
      <w:r>
        <w:rPr>
          <w:rFonts w:ascii="Times New Roman" w:hAnsi="Times New Roman" w:cs="Times New Roman"/>
          <w:sz w:val="24"/>
          <w:szCs w:val="24"/>
        </w:rPr>
        <w:t xml:space="preserve"> their rights violations to be remedied</w:t>
      </w:r>
      <w:r w:rsidRPr="00E07B7E">
        <w:rPr>
          <w:rFonts w:ascii="Times New Roman" w:hAnsi="Times New Roman" w:cs="Times New Roman"/>
          <w:sz w:val="24"/>
          <w:szCs w:val="24"/>
        </w:rPr>
        <w:t>.</w:t>
      </w:r>
      <w:r>
        <w:rPr>
          <w:rFonts w:ascii="Times New Roman" w:hAnsi="Times New Roman" w:cs="Times New Roman"/>
          <w:sz w:val="24"/>
          <w:szCs w:val="24"/>
        </w:rPr>
        <w:t xml:space="preserve"> </w:t>
      </w:r>
      <w:r w:rsidR="00E4346A">
        <w:rPr>
          <w:rFonts w:ascii="Times New Roman" w:hAnsi="Times New Roman" w:cs="Times New Roman"/>
          <w:sz w:val="24"/>
          <w:szCs w:val="24"/>
        </w:rPr>
        <w:t>In so doing, we take</w:t>
      </w:r>
      <w:r w:rsidR="00EB0825">
        <w:rPr>
          <w:rFonts w:ascii="Times New Roman" w:hAnsi="Times New Roman" w:cs="Times New Roman"/>
          <w:sz w:val="24"/>
          <w:szCs w:val="24"/>
        </w:rPr>
        <w:t xml:space="preserve"> seriously the Working Group’s requirement that the effectiveness of a remedy should be judged from the perspective of rightsholders. </w:t>
      </w:r>
      <w:r w:rsidR="00F53024">
        <w:rPr>
          <w:rFonts w:ascii="Times New Roman" w:hAnsi="Times New Roman" w:cs="Times New Roman"/>
          <w:sz w:val="24"/>
          <w:szCs w:val="24"/>
        </w:rPr>
        <w:t>Our approach is then to compare</w:t>
      </w:r>
      <w:r w:rsidR="00E4346A">
        <w:rPr>
          <w:rFonts w:ascii="Times New Roman" w:hAnsi="Times New Roman" w:cs="Times New Roman"/>
          <w:sz w:val="24"/>
          <w:szCs w:val="24"/>
        </w:rPr>
        <w:t xml:space="preserve"> the </w:t>
      </w:r>
      <w:r w:rsidR="00F53024">
        <w:rPr>
          <w:rFonts w:ascii="Times New Roman" w:hAnsi="Times New Roman" w:cs="Times New Roman"/>
          <w:sz w:val="24"/>
          <w:szCs w:val="24"/>
        </w:rPr>
        <w:t xml:space="preserve">perspectives of </w:t>
      </w:r>
      <w:r w:rsidR="00EB0825">
        <w:rPr>
          <w:rFonts w:ascii="Times New Roman" w:hAnsi="Times New Roman" w:cs="Times New Roman"/>
          <w:sz w:val="24"/>
          <w:szCs w:val="24"/>
        </w:rPr>
        <w:t xml:space="preserve">rightsholders </w:t>
      </w:r>
      <w:r w:rsidR="00F53024">
        <w:rPr>
          <w:rFonts w:ascii="Times New Roman" w:hAnsi="Times New Roman" w:cs="Times New Roman"/>
          <w:sz w:val="24"/>
          <w:szCs w:val="24"/>
        </w:rPr>
        <w:t>on whether</w:t>
      </w:r>
      <w:r w:rsidR="00E4346A">
        <w:rPr>
          <w:rFonts w:ascii="Times New Roman" w:hAnsi="Times New Roman" w:cs="Times New Roman"/>
          <w:sz w:val="24"/>
          <w:szCs w:val="24"/>
        </w:rPr>
        <w:t xml:space="preserve"> </w:t>
      </w:r>
      <w:r w:rsidR="00EB0825">
        <w:rPr>
          <w:rFonts w:ascii="Times New Roman" w:hAnsi="Times New Roman" w:cs="Times New Roman"/>
          <w:sz w:val="24"/>
          <w:szCs w:val="24"/>
        </w:rPr>
        <w:t xml:space="preserve">the remedy </w:t>
      </w:r>
      <w:r w:rsidR="00D63815">
        <w:rPr>
          <w:rFonts w:ascii="Times New Roman" w:hAnsi="Times New Roman" w:cs="Times New Roman"/>
          <w:sz w:val="24"/>
          <w:szCs w:val="24"/>
        </w:rPr>
        <w:t>is</w:t>
      </w:r>
      <w:r w:rsidR="00EB0825">
        <w:rPr>
          <w:rFonts w:ascii="Times New Roman" w:hAnsi="Times New Roman" w:cs="Times New Roman"/>
          <w:sz w:val="24"/>
          <w:szCs w:val="24"/>
        </w:rPr>
        <w:t xml:space="preserve"> effective </w:t>
      </w:r>
      <w:r w:rsidR="00F53024">
        <w:rPr>
          <w:rFonts w:ascii="Times New Roman" w:hAnsi="Times New Roman" w:cs="Times New Roman"/>
          <w:sz w:val="24"/>
          <w:szCs w:val="24"/>
        </w:rPr>
        <w:t>with the</w:t>
      </w:r>
      <w:r w:rsidR="00E4346A">
        <w:rPr>
          <w:rFonts w:ascii="Times New Roman" w:hAnsi="Times New Roman" w:cs="Times New Roman"/>
          <w:sz w:val="24"/>
          <w:szCs w:val="24"/>
        </w:rPr>
        <w:t xml:space="preserve"> way it was presented by the relevant authority</w:t>
      </w:r>
      <w:r w:rsidR="00EB0825">
        <w:rPr>
          <w:rFonts w:ascii="Times New Roman" w:hAnsi="Times New Roman" w:cs="Times New Roman"/>
          <w:sz w:val="24"/>
          <w:szCs w:val="24"/>
        </w:rPr>
        <w:t xml:space="preserve">, </w:t>
      </w:r>
      <w:r w:rsidR="00F53024">
        <w:rPr>
          <w:rFonts w:ascii="Times New Roman" w:hAnsi="Times New Roman" w:cs="Times New Roman"/>
          <w:sz w:val="24"/>
          <w:szCs w:val="24"/>
        </w:rPr>
        <w:t xml:space="preserve">and if there is a disparity, </w:t>
      </w:r>
      <w:r w:rsidR="00EB0825">
        <w:rPr>
          <w:rFonts w:ascii="Times New Roman" w:hAnsi="Times New Roman" w:cs="Times New Roman"/>
          <w:sz w:val="24"/>
          <w:szCs w:val="24"/>
        </w:rPr>
        <w:t xml:space="preserve">then the claim </w:t>
      </w:r>
      <w:r w:rsidR="00D63815">
        <w:rPr>
          <w:rFonts w:ascii="Times New Roman" w:hAnsi="Times New Roman" w:cs="Times New Roman"/>
          <w:sz w:val="24"/>
          <w:szCs w:val="24"/>
        </w:rPr>
        <w:t>is</w:t>
      </w:r>
      <w:r w:rsidR="00EB0825">
        <w:rPr>
          <w:rFonts w:ascii="Times New Roman" w:hAnsi="Times New Roman" w:cs="Times New Roman"/>
          <w:sz w:val="24"/>
          <w:szCs w:val="24"/>
        </w:rPr>
        <w:t xml:space="preserve"> placed in a special “discordant” category.</w:t>
      </w:r>
      <w:r w:rsidR="00EB0825">
        <w:rPr>
          <w:rStyle w:val="FootnoteReference"/>
          <w:rFonts w:ascii="Times New Roman" w:hAnsi="Times New Roman" w:cs="Times New Roman"/>
          <w:sz w:val="24"/>
          <w:szCs w:val="24"/>
        </w:rPr>
        <w:footnoteReference w:id="64"/>
      </w:r>
      <w:r w:rsidR="00EB0825">
        <w:rPr>
          <w:rFonts w:ascii="Times New Roman" w:hAnsi="Times New Roman" w:cs="Times New Roman"/>
          <w:sz w:val="24"/>
          <w:szCs w:val="24"/>
        </w:rPr>
        <w:t xml:space="preserve"> As described below, this result did not occur with any of the RSPO claims, and so we do not have a discordant category in our data. Future studies will inevitably involve discordant scenarios where approaches will h</w:t>
      </w:r>
      <w:r w:rsidR="00530277">
        <w:rPr>
          <w:rFonts w:ascii="Times New Roman" w:hAnsi="Times New Roman" w:cs="Times New Roman"/>
          <w:sz w:val="24"/>
          <w:szCs w:val="24"/>
        </w:rPr>
        <w:t xml:space="preserve">ave to be devised for reaching a determination of whether an effective substantive remedy has in fact occurred. </w:t>
      </w:r>
    </w:p>
    <w:p w14:paraId="2244096C" w14:textId="1E33BF4B" w:rsidR="00375AC3" w:rsidRDefault="00E4346A" w:rsidP="001659DC">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are</w:t>
      </w:r>
      <w:r w:rsidR="00530277">
        <w:rPr>
          <w:rFonts w:ascii="Times New Roman" w:hAnsi="Times New Roman" w:cs="Times New Roman"/>
          <w:sz w:val="24"/>
          <w:szCs w:val="24"/>
        </w:rPr>
        <w:t xml:space="preserve"> also cognizant of the fact that </w:t>
      </w:r>
      <w:r w:rsidR="00D00268">
        <w:rPr>
          <w:rFonts w:ascii="Times New Roman" w:hAnsi="Times New Roman" w:cs="Times New Roman"/>
          <w:sz w:val="24"/>
          <w:szCs w:val="24"/>
        </w:rPr>
        <w:t xml:space="preserve">substantive outcomes could be fundamentally undermined by </w:t>
      </w:r>
      <w:r w:rsidR="00530277">
        <w:rPr>
          <w:rFonts w:ascii="Times New Roman" w:hAnsi="Times New Roman" w:cs="Times New Roman"/>
          <w:sz w:val="24"/>
          <w:szCs w:val="24"/>
        </w:rPr>
        <w:t>procedural aspects of the claims process</w:t>
      </w:r>
      <w:r w:rsidR="00D00268">
        <w:rPr>
          <w:rFonts w:ascii="Times New Roman" w:hAnsi="Times New Roman" w:cs="Times New Roman"/>
          <w:sz w:val="24"/>
          <w:szCs w:val="24"/>
        </w:rPr>
        <w:t>. If procedural failing</w:t>
      </w:r>
      <w:r>
        <w:rPr>
          <w:rFonts w:ascii="Times New Roman" w:hAnsi="Times New Roman" w:cs="Times New Roman"/>
          <w:sz w:val="24"/>
          <w:szCs w:val="24"/>
        </w:rPr>
        <w:t>s are</w:t>
      </w:r>
      <w:r w:rsidR="00D00268">
        <w:rPr>
          <w:rFonts w:ascii="Times New Roman" w:hAnsi="Times New Roman" w:cs="Times New Roman"/>
          <w:sz w:val="24"/>
          <w:szCs w:val="24"/>
        </w:rPr>
        <w:t xml:space="preserve"> sufficiently grave, this might lead to the conclusion that no substantive effective </w:t>
      </w:r>
      <w:r>
        <w:rPr>
          <w:rFonts w:ascii="Times New Roman" w:hAnsi="Times New Roman" w:cs="Times New Roman"/>
          <w:sz w:val="24"/>
          <w:szCs w:val="24"/>
        </w:rPr>
        <w:t>remedy has</w:t>
      </w:r>
      <w:r w:rsidR="00D00268">
        <w:rPr>
          <w:rFonts w:ascii="Times New Roman" w:hAnsi="Times New Roman" w:cs="Times New Roman"/>
          <w:sz w:val="24"/>
          <w:szCs w:val="24"/>
        </w:rPr>
        <w:t xml:space="preserve"> </w:t>
      </w:r>
      <w:proofErr w:type="gramStart"/>
      <w:r w:rsidR="00D00268">
        <w:rPr>
          <w:rFonts w:ascii="Times New Roman" w:hAnsi="Times New Roman" w:cs="Times New Roman"/>
          <w:sz w:val="24"/>
          <w:szCs w:val="24"/>
        </w:rPr>
        <w:t>been, or</w:t>
      </w:r>
      <w:proofErr w:type="gramEnd"/>
      <w:r w:rsidR="00D00268">
        <w:rPr>
          <w:rFonts w:ascii="Times New Roman" w:hAnsi="Times New Roman" w:cs="Times New Roman"/>
          <w:sz w:val="24"/>
          <w:szCs w:val="24"/>
        </w:rPr>
        <w:t xml:space="preserve"> could be achieved. </w:t>
      </w:r>
      <w:r w:rsidR="00D63815">
        <w:rPr>
          <w:rFonts w:ascii="Times New Roman" w:hAnsi="Times New Roman" w:cs="Times New Roman"/>
          <w:sz w:val="24"/>
          <w:szCs w:val="24"/>
        </w:rPr>
        <w:t>Therefore, w</w:t>
      </w:r>
      <w:r>
        <w:rPr>
          <w:rFonts w:ascii="Times New Roman" w:hAnsi="Times New Roman" w:cs="Times New Roman"/>
          <w:sz w:val="24"/>
          <w:szCs w:val="24"/>
        </w:rPr>
        <w:t xml:space="preserve">e </w:t>
      </w:r>
      <w:r w:rsidR="00D63815">
        <w:rPr>
          <w:rFonts w:ascii="Times New Roman" w:hAnsi="Times New Roman" w:cs="Times New Roman"/>
          <w:sz w:val="24"/>
          <w:szCs w:val="24"/>
        </w:rPr>
        <w:t>also seek to ascertain if there are</w:t>
      </w:r>
      <w:r>
        <w:rPr>
          <w:rFonts w:ascii="Times New Roman" w:hAnsi="Times New Roman" w:cs="Times New Roman"/>
          <w:sz w:val="24"/>
          <w:szCs w:val="24"/>
        </w:rPr>
        <w:t xml:space="preserve"> procedural aspe</w:t>
      </w:r>
      <w:r w:rsidR="00D63815">
        <w:rPr>
          <w:rFonts w:ascii="Times New Roman" w:hAnsi="Times New Roman" w:cs="Times New Roman"/>
          <w:sz w:val="24"/>
          <w:szCs w:val="24"/>
        </w:rPr>
        <w:t>cts of the claim that might</w:t>
      </w:r>
      <w:r>
        <w:rPr>
          <w:rFonts w:ascii="Times New Roman" w:hAnsi="Times New Roman" w:cs="Times New Roman"/>
          <w:sz w:val="24"/>
          <w:szCs w:val="24"/>
        </w:rPr>
        <w:t xml:space="preserve"> le</w:t>
      </w:r>
      <w:r w:rsidR="00D63815">
        <w:rPr>
          <w:rFonts w:ascii="Times New Roman" w:hAnsi="Times New Roman" w:cs="Times New Roman"/>
          <w:sz w:val="24"/>
          <w:szCs w:val="24"/>
        </w:rPr>
        <w:t>a</w:t>
      </w:r>
      <w:r>
        <w:rPr>
          <w:rFonts w:ascii="Times New Roman" w:hAnsi="Times New Roman" w:cs="Times New Roman"/>
          <w:sz w:val="24"/>
          <w:szCs w:val="24"/>
        </w:rPr>
        <w:t xml:space="preserve">d to the effective frustration of substantive outcomes. </w:t>
      </w:r>
      <w:r w:rsidR="00D63815">
        <w:rPr>
          <w:rFonts w:ascii="Times New Roman" w:hAnsi="Times New Roman" w:cs="Times New Roman"/>
          <w:sz w:val="24"/>
          <w:szCs w:val="24"/>
        </w:rPr>
        <w:t xml:space="preserve">For </w:t>
      </w:r>
      <w:proofErr w:type="gramStart"/>
      <w:r w:rsidR="00D63815">
        <w:rPr>
          <w:rFonts w:ascii="Times New Roman" w:hAnsi="Times New Roman" w:cs="Times New Roman"/>
          <w:sz w:val="24"/>
          <w:szCs w:val="24"/>
        </w:rPr>
        <w:t>instance</w:t>
      </w:r>
      <w:proofErr w:type="gramEnd"/>
      <w:r w:rsidR="00D63815">
        <w:rPr>
          <w:rFonts w:ascii="Times New Roman" w:hAnsi="Times New Roman" w:cs="Times New Roman"/>
          <w:sz w:val="24"/>
          <w:szCs w:val="24"/>
        </w:rPr>
        <w:t xml:space="preserve"> this could be </w:t>
      </w:r>
      <w:r w:rsidR="00D63815">
        <w:rPr>
          <w:rFonts w:ascii="Times New Roman" w:hAnsi="Times New Roman" w:cs="Times New Roman"/>
          <w:sz w:val="24"/>
          <w:szCs w:val="24"/>
        </w:rPr>
        <w:lastRenderedPageBreak/>
        <w:t>because of the length of time taken to achieve an effective remedy. We therefore seek evidence of such procedural issues in our examination of all materials in relation to the case produced by the relevan</w:t>
      </w:r>
      <w:r w:rsidR="003F183C">
        <w:rPr>
          <w:rFonts w:ascii="Times New Roman" w:hAnsi="Times New Roman" w:cs="Times New Roman"/>
          <w:sz w:val="24"/>
          <w:szCs w:val="24"/>
        </w:rPr>
        <w:t xml:space="preserve">t authority, and where such evidence exists, seek community perspectives to ascertain whether they perceive </w:t>
      </w:r>
      <w:r w:rsidR="00F53024">
        <w:rPr>
          <w:rFonts w:ascii="Times New Roman" w:hAnsi="Times New Roman" w:cs="Times New Roman"/>
          <w:sz w:val="24"/>
          <w:szCs w:val="24"/>
        </w:rPr>
        <w:t xml:space="preserve">an </w:t>
      </w:r>
      <w:r w:rsidR="003F183C">
        <w:rPr>
          <w:rFonts w:ascii="Times New Roman" w:hAnsi="Times New Roman" w:cs="Times New Roman"/>
          <w:sz w:val="24"/>
          <w:szCs w:val="24"/>
        </w:rPr>
        <w:t xml:space="preserve">effective remedy to be frustrated.  </w:t>
      </w:r>
      <w:r w:rsidR="00D63815">
        <w:rPr>
          <w:rFonts w:ascii="Times New Roman" w:hAnsi="Times New Roman" w:cs="Times New Roman"/>
          <w:sz w:val="24"/>
          <w:szCs w:val="24"/>
        </w:rPr>
        <w:t xml:space="preserve"> </w:t>
      </w:r>
    </w:p>
    <w:p w14:paraId="6D5D8552" w14:textId="5B34B68D" w:rsidR="00142400" w:rsidRPr="00E07B7E" w:rsidRDefault="000A3AF7" w:rsidP="001659DC">
      <w:pPr>
        <w:spacing w:line="360" w:lineRule="auto"/>
        <w:rPr>
          <w:rFonts w:ascii="Times New Roman" w:hAnsi="Times New Roman" w:cs="Times New Roman"/>
          <w:sz w:val="24"/>
          <w:szCs w:val="24"/>
        </w:rPr>
      </w:pPr>
      <w:r>
        <w:rPr>
          <w:rFonts w:ascii="Times New Roman" w:hAnsi="Times New Roman" w:cs="Times New Roman"/>
          <w:sz w:val="24"/>
          <w:szCs w:val="24"/>
        </w:rPr>
        <w:tab/>
      </w:r>
      <w:r w:rsidR="00D00268">
        <w:rPr>
          <w:rFonts w:ascii="Times New Roman" w:hAnsi="Times New Roman" w:cs="Times New Roman"/>
          <w:sz w:val="24"/>
          <w:szCs w:val="24"/>
        </w:rPr>
        <w:t>In operationalizing our approach into a methodology for conducting the study, there were two key stages. The first stage of o</w:t>
      </w:r>
      <w:r w:rsidR="00B82107">
        <w:rPr>
          <w:rFonts w:ascii="Times New Roman" w:hAnsi="Times New Roman" w:cs="Times New Roman"/>
          <w:sz w:val="24"/>
          <w:szCs w:val="24"/>
        </w:rPr>
        <w:t>ur methodo</w:t>
      </w:r>
      <w:r w:rsidR="00332FFC">
        <w:rPr>
          <w:rFonts w:ascii="Times New Roman" w:hAnsi="Times New Roman" w:cs="Times New Roman"/>
          <w:sz w:val="24"/>
          <w:szCs w:val="24"/>
        </w:rPr>
        <w:t>lo</w:t>
      </w:r>
      <w:r w:rsidR="00B82107">
        <w:rPr>
          <w:rFonts w:ascii="Times New Roman" w:hAnsi="Times New Roman" w:cs="Times New Roman"/>
          <w:sz w:val="24"/>
          <w:szCs w:val="24"/>
        </w:rPr>
        <w:t>gy was to</w:t>
      </w:r>
      <w:r w:rsidR="00913556" w:rsidRPr="00E07B7E">
        <w:rPr>
          <w:rFonts w:ascii="Times New Roman" w:hAnsi="Times New Roman" w:cs="Times New Roman"/>
          <w:sz w:val="24"/>
          <w:szCs w:val="24"/>
        </w:rPr>
        <w:t xml:space="preserve"> review all the RSPO claims </w:t>
      </w:r>
      <w:r w:rsidR="006A3A0A" w:rsidRPr="00E07B7E">
        <w:rPr>
          <w:rFonts w:ascii="Times New Roman" w:hAnsi="Times New Roman" w:cs="Times New Roman"/>
          <w:sz w:val="24"/>
          <w:szCs w:val="24"/>
        </w:rPr>
        <w:t>in which an order had been entered</w:t>
      </w:r>
      <w:r w:rsidR="00E73871" w:rsidRPr="00E07B7E">
        <w:rPr>
          <w:rFonts w:ascii="Times New Roman" w:hAnsi="Times New Roman" w:cs="Times New Roman"/>
          <w:sz w:val="24"/>
          <w:szCs w:val="24"/>
        </w:rPr>
        <w:t xml:space="preserve"> or a settlement reached</w:t>
      </w:r>
      <w:r w:rsidR="00913556" w:rsidRPr="00E07B7E">
        <w:rPr>
          <w:rFonts w:ascii="Times New Roman" w:hAnsi="Times New Roman" w:cs="Times New Roman"/>
          <w:sz w:val="24"/>
          <w:szCs w:val="24"/>
        </w:rPr>
        <w:t>. We did this by scrutinizing the claims files available on the RSPO claims website.</w:t>
      </w:r>
      <w:r w:rsidR="00913556" w:rsidRPr="00E07B7E">
        <w:rPr>
          <w:rStyle w:val="FootnoteReference"/>
          <w:rFonts w:ascii="Times New Roman" w:hAnsi="Times New Roman" w:cs="Times New Roman"/>
          <w:sz w:val="24"/>
          <w:szCs w:val="24"/>
        </w:rPr>
        <w:footnoteReference w:id="65"/>
      </w:r>
      <w:r w:rsidR="00913556" w:rsidRPr="00E07B7E">
        <w:rPr>
          <w:rFonts w:ascii="Times New Roman" w:hAnsi="Times New Roman" w:cs="Times New Roman"/>
          <w:sz w:val="24"/>
          <w:szCs w:val="24"/>
        </w:rPr>
        <w:t xml:space="preserve"> Because the point of study is access to remedy for infringements of human rights, we reviewed the formal statement of claims in the claims file (including later amendments, if any) and determined if each claim raised a human rights issue.</w:t>
      </w:r>
      <w:r w:rsidR="00913556" w:rsidRPr="00E07B7E">
        <w:rPr>
          <w:rStyle w:val="FootnoteReference"/>
          <w:rFonts w:ascii="Times New Roman" w:hAnsi="Times New Roman" w:cs="Times New Roman"/>
          <w:sz w:val="24"/>
          <w:szCs w:val="24"/>
        </w:rPr>
        <w:footnoteReference w:id="66"/>
      </w:r>
      <w:r w:rsidR="00913556" w:rsidRPr="00E07B7E">
        <w:rPr>
          <w:rFonts w:ascii="Times New Roman" w:hAnsi="Times New Roman" w:cs="Times New Roman"/>
          <w:sz w:val="24"/>
          <w:szCs w:val="24"/>
        </w:rPr>
        <w:t xml:space="preserve"> Some claims solely involved topics </w:t>
      </w:r>
      <w:r w:rsidR="00677E55">
        <w:rPr>
          <w:rFonts w:ascii="Times New Roman" w:hAnsi="Times New Roman" w:cs="Times New Roman"/>
          <w:sz w:val="24"/>
          <w:szCs w:val="24"/>
        </w:rPr>
        <w:t xml:space="preserve">clearly </w:t>
      </w:r>
      <w:r w:rsidR="00913556" w:rsidRPr="00E07B7E">
        <w:rPr>
          <w:rFonts w:ascii="Times New Roman" w:hAnsi="Times New Roman" w:cs="Times New Roman"/>
          <w:sz w:val="24"/>
          <w:szCs w:val="24"/>
        </w:rPr>
        <w:t>removed from human rights, these include</w:t>
      </w:r>
      <w:r w:rsidR="00DF12EE">
        <w:rPr>
          <w:rFonts w:ascii="Times New Roman" w:hAnsi="Times New Roman" w:cs="Times New Roman"/>
          <w:sz w:val="24"/>
          <w:szCs w:val="24"/>
        </w:rPr>
        <w:t>d</w:t>
      </w:r>
      <w:r w:rsidR="00913556" w:rsidRPr="00E07B7E">
        <w:rPr>
          <w:rFonts w:ascii="Times New Roman" w:hAnsi="Times New Roman" w:cs="Times New Roman"/>
          <w:sz w:val="24"/>
          <w:szCs w:val="24"/>
        </w:rPr>
        <w:t xml:space="preserve"> issues such as orangutan habitat, </w:t>
      </w:r>
      <w:r w:rsidR="00360A96">
        <w:rPr>
          <w:rFonts w:ascii="Times New Roman" w:hAnsi="Times New Roman" w:cs="Times New Roman"/>
          <w:sz w:val="24"/>
          <w:szCs w:val="24"/>
        </w:rPr>
        <w:t xml:space="preserve">individual </w:t>
      </w:r>
      <w:r w:rsidR="00913556" w:rsidRPr="00E07B7E">
        <w:rPr>
          <w:rFonts w:ascii="Times New Roman" w:hAnsi="Times New Roman" w:cs="Times New Roman"/>
          <w:sz w:val="24"/>
          <w:szCs w:val="24"/>
        </w:rPr>
        <w:t>contract terms or use of the RSPO certification in retail outlets. These claims were excluded from the study. Any claims that mixed human rights and non-human rights claims were included.</w:t>
      </w:r>
      <w:r w:rsidR="005A0124" w:rsidRPr="00E07B7E">
        <w:rPr>
          <w:rFonts w:ascii="Times New Roman" w:hAnsi="Times New Roman" w:cs="Times New Roman"/>
          <w:sz w:val="24"/>
          <w:szCs w:val="24"/>
        </w:rPr>
        <w:t xml:space="preserve"> There were also claims that were brought by RSPO itself in response to a public report, and in which no claimant ever came forward</w:t>
      </w:r>
      <w:r w:rsidR="006A3A0A" w:rsidRPr="00E07B7E">
        <w:rPr>
          <w:rFonts w:ascii="Times New Roman" w:hAnsi="Times New Roman" w:cs="Times New Roman"/>
          <w:sz w:val="24"/>
          <w:szCs w:val="24"/>
        </w:rPr>
        <w:t>.</w:t>
      </w:r>
      <w:r w:rsidR="005A0124" w:rsidRPr="00E07B7E">
        <w:rPr>
          <w:rStyle w:val="FootnoteReference"/>
          <w:rFonts w:ascii="Times New Roman" w:hAnsi="Times New Roman" w:cs="Times New Roman"/>
          <w:sz w:val="24"/>
          <w:szCs w:val="24"/>
        </w:rPr>
        <w:footnoteReference w:id="67"/>
      </w:r>
      <w:r w:rsidR="005A0124" w:rsidRPr="00E07B7E">
        <w:rPr>
          <w:rFonts w:ascii="Times New Roman" w:hAnsi="Times New Roman" w:cs="Times New Roman"/>
          <w:sz w:val="24"/>
          <w:szCs w:val="24"/>
        </w:rPr>
        <w:t xml:space="preserve"> As those claims had no</w:t>
      </w:r>
      <w:r w:rsidR="004859E1" w:rsidRPr="00E07B7E">
        <w:rPr>
          <w:rFonts w:ascii="Times New Roman" w:hAnsi="Times New Roman" w:cs="Times New Roman"/>
          <w:sz w:val="24"/>
          <w:szCs w:val="24"/>
        </w:rPr>
        <w:t xml:space="preserve"> individual</w:t>
      </w:r>
      <w:r w:rsidR="00A942B8" w:rsidRPr="00E07B7E">
        <w:rPr>
          <w:rFonts w:ascii="Times New Roman" w:hAnsi="Times New Roman" w:cs="Times New Roman"/>
          <w:sz w:val="24"/>
          <w:szCs w:val="24"/>
        </w:rPr>
        <w:t>s</w:t>
      </w:r>
      <w:r w:rsidR="004859E1" w:rsidRPr="00E07B7E">
        <w:rPr>
          <w:rFonts w:ascii="Times New Roman" w:hAnsi="Times New Roman" w:cs="Times New Roman"/>
          <w:sz w:val="24"/>
          <w:szCs w:val="24"/>
        </w:rPr>
        <w:t xml:space="preserve"> </w:t>
      </w:r>
      <w:r w:rsidR="00A942B8" w:rsidRPr="00E07B7E">
        <w:rPr>
          <w:rFonts w:ascii="Times New Roman" w:hAnsi="Times New Roman" w:cs="Times New Roman"/>
          <w:sz w:val="24"/>
          <w:szCs w:val="24"/>
        </w:rPr>
        <w:t xml:space="preserve">or groups </w:t>
      </w:r>
      <w:r w:rsidR="005A0124" w:rsidRPr="00E07B7E">
        <w:rPr>
          <w:rFonts w:ascii="Times New Roman" w:hAnsi="Times New Roman" w:cs="Times New Roman"/>
          <w:sz w:val="24"/>
          <w:szCs w:val="24"/>
        </w:rPr>
        <w:t>request</w:t>
      </w:r>
      <w:r w:rsidR="004859E1" w:rsidRPr="00E07B7E">
        <w:rPr>
          <w:rFonts w:ascii="Times New Roman" w:hAnsi="Times New Roman" w:cs="Times New Roman"/>
          <w:sz w:val="24"/>
          <w:szCs w:val="24"/>
        </w:rPr>
        <w:t>ing</w:t>
      </w:r>
      <w:r w:rsidR="005A0124" w:rsidRPr="00E07B7E">
        <w:rPr>
          <w:rFonts w:ascii="Times New Roman" w:hAnsi="Times New Roman" w:cs="Times New Roman"/>
          <w:sz w:val="24"/>
          <w:szCs w:val="24"/>
        </w:rPr>
        <w:t xml:space="preserve"> a remedy, they were excluded from this analysis. </w:t>
      </w:r>
      <w:r w:rsidR="00273F10">
        <w:rPr>
          <w:rFonts w:ascii="Times New Roman" w:hAnsi="Times New Roman" w:cs="Times New Roman"/>
          <w:sz w:val="24"/>
          <w:szCs w:val="24"/>
        </w:rPr>
        <w:t xml:space="preserve">At this point we had identified a set of human rights claims in the RSPO complaint mechanism. </w:t>
      </w:r>
    </w:p>
    <w:p w14:paraId="41712505" w14:textId="104C34CA"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The human rights claims files were </w:t>
      </w:r>
      <w:r w:rsidR="00584F94">
        <w:rPr>
          <w:rFonts w:ascii="Times New Roman" w:hAnsi="Times New Roman" w:cs="Times New Roman"/>
          <w:sz w:val="24"/>
          <w:szCs w:val="24"/>
        </w:rPr>
        <w:t xml:space="preserve">then </w:t>
      </w:r>
      <w:r w:rsidRPr="00E07B7E">
        <w:rPr>
          <w:rFonts w:ascii="Times New Roman" w:hAnsi="Times New Roman" w:cs="Times New Roman"/>
          <w:sz w:val="24"/>
          <w:szCs w:val="24"/>
        </w:rPr>
        <w:t xml:space="preserve">reviewed to determine if a ruling was made by the RSPO </w:t>
      </w:r>
      <w:r w:rsidR="00C86E7C"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C86E7C"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w:t>
      </w:r>
      <w:r w:rsidR="00551919">
        <w:rPr>
          <w:rFonts w:ascii="Times New Roman" w:hAnsi="Times New Roman" w:cs="Times New Roman"/>
          <w:sz w:val="24"/>
          <w:szCs w:val="24"/>
        </w:rPr>
        <w:t xml:space="preserve">The rulings are formal decision </w:t>
      </w:r>
      <w:r w:rsidRPr="00E07B7E">
        <w:rPr>
          <w:rFonts w:ascii="Times New Roman" w:hAnsi="Times New Roman" w:cs="Times New Roman"/>
          <w:sz w:val="24"/>
          <w:szCs w:val="24"/>
        </w:rPr>
        <w:t xml:space="preserve">documents submitted by the </w:t>
      </w:r>
      <w:r w:rsidR="00C86E7C"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C86E7C"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in each case in which a ruling was made. For claims in which no ruling was made, we determined if there was a recognition that a settlement was made between the parties leading to the case being closed. This was noted either by the </w:t>
      </w:r>
      <w:r w:rsidR="00C86E7C"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C86E7C"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or on the RSPO website </w:t>
      </w:r>
      <w:r w:rsidRPr="00E07B7E">
        <w:rPr>
          <w:rFonts w:ascii="Times New Roman" w:hAnsi="Times New Roman" w:cs="Times New Roman"/>
          <w:sz w:val="24"/>
          <w:szCs w:val="24"/>
        </w:rPr>
        <w:lastRenderedPageBreak/>
        <w:t xml:space="preserve">describing the claim. </w:t>
      </w:r>
      <w:r w:rsidR="0067260A">
        <w:rPr>
          <w:rFonts w:ascii="Times New Roman" w:hAnsi="Times New Roman" w:cs="Times New Roman"/>
          <w:sz w:val="24"/>
          <w:szCs w:val="24"/>
        </w:rPr>
        <w:t xml:space="preserve">At this point we </w:t>
      </w:r>
      <w:r w:rsidR="005B11F0">
        <w:rPr>
          <w:rFonts w:ascii="Times New Roman" w:hAnsi="Times New Roman" w:cs="Times New Roman"/>
          <w:sz w:val="24"/>
          <w:szCs w:val="24"/>
        </w:rPr>
        <w:t>had a set of human rights claims</w:t>
      </w:r>
      <w:r w:rsidR="009B7110">
        <w:rPr>
          <w:rFonts w:ascii="Times New Roman" w:hAnsi="Times New Roman" w:cs="Times New Roman"/>
          <w:sz w:val="24"/>
          <w:szCs w:val="24"/>
        </w:rPr>
        <w:t xml:space="preserve"> which had been resolved, either by ruling of the </w:t>
      </w:r>
      <w:proofErr w:type="gramStart"/>
      <w:r w:rsidR="009B7110">
        <w:rPr>
          <w:rFonts w:ascii="Times New Roman" w:hAnsi="Times New Roman" w:cs="Times New Roman"/>
          <w:sz w:val="24"/>
          <w:szCs w:val="24"/>
        </w:rPr>
        <w:t>complaints</w:t>
      </w:r>
      <w:proofErr w:type="gramEnd"/>
      <w:r w:rsidR="009B7110">
        <w:rPr>
          <w:rFonts w:ascii="Times New Roman" w:hAnsi="Times New Roman" w:cs="Times New Roman"/>
          <w:sz w:val="24"/>
          <w:szCs w:val="24"/>
        </w:rPr>
        <w:t xml:space="preserve"> mechanisms or by settlement of the parties. </w:t>
      </w:r>
      <w:r w:rsidRPr="00E07B7E">
        <w:rPr>
          <w:rFonts w:ascii="Times New Roman" w:hAnsi="Times New Roman" w:cs="Times New Roman"/>
          <w:sz w:val="24"/>
          <w:szCs w:val="24"/>
        </w:rPr>
        <w:t xml:space="preserve">We then placed each </w:t>
      </w:r>
      <w:r w:rsidR="009B7110">
        <w:rPr>
          <w:rFonts w:ascii="Times New Roman" w:hAnsi="Times New Roman" w:cs="Times New Roman"/>
          <w:sz w:val="24"/>
          <w:szCs w:val="24"/>
        </w:rPr>
        <w:t xml:space="preserve">of these resolved </w:t>
      </w:r>
      <w:r w:rsidRPr="00E07B7E">
        <w:rPr>
          <w:rFonts w:ascii="Times New Roman" w:hAnsi="Times New Roman" w:cs="Times New Roman"/>
          <w:sz w:val="24"/>
          <w:szCs w:val="24"/>
        </w:rPr>
        <w:t>claim</w:t>
      </w:r>
      <w:r w:rsidR="00F53024">
        <w:rPr>
          <w:rFonts w:ascii="Times New Roman" w:hAnsi="Times New Roman" w:cs="Times New Roman"/>
          <w:sz w:val="24"/>
          <w:szCs w:val="24"/>
        </w:rPr>
        <w:t>s</w:t>
      </w:r>
      <w:r w:rsidRPr="00E07B7E">
        <w:rPr>
          <w:rFonts w:ascii="Times New Roman" w:hAnsi="Times New Roman" w:cs="Times New Roman"/>
          <w:sz w:val="24"/>
          <w:szCs w:val="24"/>
        </w:rPr>
        <w:t xml:space="preserve"> in</w:t>
      </w:r>
      <w:r w:rsidR="00F53024">
        <w:rPr>
          <w:rFonts w:ascii="Times New Roman" w:hAnsi="Times New Roman" w:cs="Times New Roman"/>
          <w:sz w:val="24"/>
          <w:szCs w:val="24"/>
        </w:rPr>
        <w:t>to</w:t>
      </w:r>
      <w:r w:rsidRPr="00E07B7E">
        <w:rPr>
          <w:rFonts w:ascii="Times New Roman" w:hAnsi="Times New Roman" w:cs="Times New Roman"/>
          <w:sz w:val="24"/>
          <w:szCs w:val="24"/>
        </w:rPr>
        <w:t xml:space="preserve"> one of three groups: Group 1 (ruling made in favor of claimants), Group 2 (no ruling made in favor of claimant), and Group 3 (no ruling made, but case settled by mutual agreement of the parties).</w:t>
      </w:r>
    </w:p>
    <w:p w14:paraId="03A000F4" w14:textId="6D6439D8" w:rsidR="000B01C1" w:rsidRPr="00E07B7E" w:rsidRDefault="000E4826"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Group 3 </w:t>
      </w:r>
      <w:r w:rsidR="0000708E">
        <w:rPr>
          <w:rFonts w:ascii="Times New Roman" w:hAnsi="Times New Roman" w:cs="Times New Roman"/>
          <w:sz w:val="24"/>
          <w:szCs w:val="24"/>
        </w:rPr>
        <w:t xml:space="preserve">(settled claims) </w:t>
      </w:r>
      <w:r>
        <w:rPr>
          <w:rFonts w:ascii="Times New Roman" w:hAnsi="Times New Roman" w:cs="Times New Roman"/>
          <w:sz w:val="24"/>
          <w:szCs w:val="24"/>
        </w:rPr>
        <w:t xml:space="preserve">was the most difficult group to analyze further. </w:t>
      </w:r>
      <w:r w:rsidR="00360A96">
        <w:rPr>
          <w:rFonts w:ascii="Times New Roman" w:hAnsi="Times New Roman" w:cs="Times New Roman"/>
          <w:sz w:val="24"/>
          <w:szCs w:val="24"/>
        </w:rPr>
        <w:t xml:space="preserve">No </w:t>
      </w:r>
      <w:r w:rsidR="00913556" w:rsidRPr="00E07B7E">
        <w:rPr>
          <w:rFonts w:ascii="Times New Roman" w:hAnsi="Times New Roman" w:cs="Times New Roman"/>
          <w:sz w:val="24"/>
          <w:szCs w:val="24"/>
        </w:rPr>
        <w:t xml:space="preserve">Group 3 claim file </w:t>
      </w:r>
      <w:r w:rsidR="004D217A">
        <w:rPr>
          <w:rFonts w:ascii="Times New Roman" w:hAnsi="Times New Roman" w:cs="Times New Roman"/>
          <w:sz w:val="24"/>
          <w:szCs w:val="24"/>
        </w:rPr>
        <w:t>included</w:t>
      </w:r>
      <w:r w:rsidR="00913556" w:rsidRPr="00E07B7E">
        <w:rPr>
          <w:rFonts w:ascii="Times New Roman" w:hAnsi="Times New Roman" w:cs="Times New Roman"/>
          <w:sz w:val="24"/>
          <w:szCs w:val="24"/>
        </w:rPr>
        <w:t xml:space="preserve"> the terms of the settlement. This nondisclosure is not the decision of </w:t>
      </w:r>
      <w:proofErr w:type="gramStart"/>
      <w:r w:rsidR="00913556" w:rsidRPr="00E07B7E">
        <w:rPr>
          <w:rFonts w:ascii="Times New Roman" w:hAnsi="Times New Roman" w:cs="Times New Roman"/>
          <w:sz w:val="24"/>
          <w:szCs w:val="24"/>
        </w:rPr>
        <w:t>RSPO, but</w:t>
      </w:r>
      <w:proofErr w:type="gramEnd"/>
      <w:r w:rsidR="00913556" w:rsidRPr="00E07B7E">
        <w:rPr>
          <w:rFonts w:ascii="Times New Roman" w:hAnsi="Times New Roman" w:cs="Times New Roman"/>
          <w:sz w:val="24"/>
          <w:szCs w:val="24"/>
        </w:rPr>
        <w:t xml:space="preserve"> is the result of RSPO’s policy to respect confidentiality requests by a party</w:t>
      </w:r>
      <w:r w:rsidR="00F8486D" w:rsidRPr="00E07B7E">
        <w:rPr>
          <w:rFonts w:ascii="Times New Roman" w:hAnsi="Times New Roman" w:cs="Times New Roman"/>
          <w:sz w:val="24"/>
          <w:szCs w:val="24"/>
        </w:rPr>
        <w:t>.</w:t>
      </w:r>
      <w:r w:rsidR="00913556" w:rsidRPr="00E07B7E">
        <w:rPr>
          <w:rStyle w:val="FootnoteReference"/>
          <w:rFonts w:ascii="Times New Roman" w:hAnsi="Times New Roman" w:cs="Times New Roman"/>
          <w:sz w:val="24"/>
          <w:szCs w:val="24"/>
        </w:rPr>
        <w:footnoteReference w:id="68"/>
      </w:r>
      <w:r w:rsidR="00913556" w:rsidRPr="00E07B7E">
        <w:rPr>
          <w:rFonts w:ascii="Times New Roman" w:hAnsi="Times New Roman" w:cs="Times New Roman"/>
          <w:sz w:val="24"/>
          <w:szCs w:val="24"/>
        </w:rPr>
        <w:t xml:space="preserve"> In </w:t>
      </w:r>
      <w:r w:rsidR="006E3CE9">
        <w:rPr>
          <w:rFonts w:ascii="Times New Roman" w:hAnsi="Times New Roman" w:cs="Times New Roman"/>
          <w:sz w:val="24"/>
          <w:szCs w:val="24"/>
        </w:rPr>
        <w:t xml:space="preserve">other dispute resolution systems, such as court </w:t>
      </w:r>
      <w:r w:rsidR="00913556" w:rsidRPr="00E07B7E">
        <w:rPr>
          <w:rFonts w:ascii="Times New Roman" w:hAnsi="Times New Roman" w:cs="Times New Roman"/>
          <w:sz w:val="24"/>
          <w:szCs w:val="24"/>
        </w:rPr>
        <w:t>litigation</w:t>
      </w:r>
      <w:r w:rsidR="006E3CE9">
        <w:rPr>
          <w:rFonts w:ascii="Times New Roman" w:hAnsi="Times New Roman" w:cs="Times New Roman"/>
          <w:sz w:val="24"/>
          <w:szCs w:val="24"/>
        </w:rPr>
        <w:t xml:space="preserve"> or arbitration</w:t>
      </w:r>
      <w:r w:rsidR="00913556" w:rsidRPr="00E07B7E">
        <w:rPr>
          <w:rFonts w:ascii="Times New Roman" w:hAnsi="Times New Roman" w:cs="Times New Roman"/>
          <w:sz w:val="24"/>
          <w:szCs w:val="24"/>
        </w:rPr>
        <w:t>, it is common practice to make settlements confidential, particularly settlement</w:t>
      </w:r>
      <w:r w:rsidR="006E3CE9">
        <w:rPr>
          <w:rFonts w:ascii="Times New Roman" w:hAnsi="Times New Roman" w:cs="Times New Roman"/>
          <w:sz w:val="24"/>
          <w:szCs w:val="24"/>
        </w:rPr>
        <w:t>s</w:t>
      </w:r>
      <w:r w:rsidR="00913556" w:rsidRPr="00E07B7E">
        <w:rPr>
          <w:rFonts w:ascii="Times New Roman" w:hAnsi="Times New Roman" w:cs="Times New Roman"/>
          <w:sz w:val="24"/>
          <w:szCs w:val="24"/>
        </w:rPr>
        <w:t xml:space="preserve"> of claims against companies. </w:t>
      </w:r>
      <w:r w:rsidR="000B01C1" w:rsidRPr="00E07B7E">
        <w:rPr>
          <w:rFonts w:ascii="Times New Roman" w:hAnsi="Times New Roman" w:cs="Times New Roman"/>
          <w:sz w:val="24"/>
          <w:szCs w:val="24"/>
        </w:rPr>
        <w:t>The company may consider it</w:t>
      </w:r>
      <w:r w:rsidR="00913556" w:rsidRPr="00E07B7E">
        <w:rPr>
          <w:rFonts w:ascii="Times New Roman" w:hAnsi="Times New Roman" w:cs="Times New Roman"/>
          <w:sz w:val="24"/>
          <w:szCs w:val="24"/>
        </w:rPr>
        <w:t xml:space="preserve"> disadvantageous to appear to be </w:t>
      </w:r>
      <w:r w:rsidR="001A15E4">
        <w:rPr>
          <w:rFonts w:ascii="Times New Roman" w:hAnsi="Times New Roman" w:cs="Times New Roman"/>
          <w:sz w:val="24"/>
          <w:szCs w:val="24"/>
        </w:rPr>
        <w:t xml:space="preserve">publicly </w:t>
      </w:r>
      <w:r w:rsidR="00913556" w:rsidRPr="00E07B7E">
        <w:rPr>
          <w:rFonts w:ascii="Times New Roman" w:hAnsi="Times New Roman" w:cs="Times New Roman"/>
          <w:sz w:val="24"/>
          <w:szCs w:val="24"/>
        </w:rPr>
        <w:t>recognizing that a claim has merit</w:t>
      </w:r>
      <w:r w:rsidR="000B01C1" w:rsidRPr="00E07B7E">
        <w:rPr>
          <w:rFonts w:ascii="Times New Roman" w:hAnsi="Times New Roman" w:cs="Times New Roman"/>
          <w:sz w:val="24"/>
          <w:szCs w:val="24"/>
        </w:rPr>
        <w:t>. It may also wish to keep the details of</w:t>
      </w:r>
      <w:r w:rsidR="00913556" w:rsidRPr="00E07B7E">
        <w:rPr>
          <w:rFonts w:ascii="Times New Roman" w:hAnsi="Times New Roman" w:cs="Times New Roman"/>
          <w:sz w:val="24"/>
          <w:szCs w:val="24"/>
        </w:rPr>
        <w:t xml:space="preserve"> what remedy </w:t>
      </w:r>
      <w:r w:rsidR="000B01C1" w:rsidRPr="00E07B7E">
        <w:rPr>
          <w:rFonts w:ascii="Times New Roman" w:hAnsi="Times New Roman" w:cs="Times New Roman"/>
          <w:sz w:val="24"/>
          <w:szCs w:val="24"/>
        </w:rPr>
        <w:t>has been</w:t>
      </w:r>
      <w:r w:rsidR="00913556" w:rsidRPr="00E07B7E">
        <w:rPr>
          <w:rFonts w:ascii="Times New Roman" w:hAnsi="Times New Roman" w:cs="Times New Roman"/>
          <w:sz w:val="24"/>
          <w:szCs w:val="24"/>
        </w:rPr>
        <w:t xml:space="preserve"> agreed</w:t>
      </w:r>
      <w:r w:rsidR="002650C3">
        <w:rPr>
          <w:rFonts w:ascii="Times New Roman" w:hAnsi="Times New Roman" w:cs="Times New Roman"/>
          <w:sz w:val="24"/>
          <w:szCs w:val="24"/>
        </w:rPr>
        <w:t xml:space="preserve"> secret </w:t>
      </w:r>
      <w:r w:rsidR="000B01C1" w:rsidRPr="00E07B7E">
        <w:rPr>
          <w:rFonts w:ascii="Times New Roman" w:hAnsi="Times New Roman" w:cs="Times New Roman"/>
          <w:sz w:val="24"/>
          <w:szCs w:val="24"/>
        </w:rPr>
        <w:t>for fear</w:t>
      </w:r>
      <w:r w:rsidR="00913556" w:rsidRPr="00E07B7E">
        <w:rPr>
          <w:rFonts w:ascii="Times New Roman" w:hAnsi="Times New Roman" w:cs="Times New Roman"/>
          <w:sz w:val="24"/>
          <w:szCs w:val="24"/>
        </w:rPr>
        <w:t xml:space="preserve"> </w:t>
      </w:r>
      <w:r w:rsidR="000B01C1" w:rsidRPr="00E07B7E">
        <w:rPr>
          <w:rFonts w:ascii="Times New Roman" w:hAnsi="Times New Roman" w:cs="Times New Roman"/>
          <w:sz w:val="24"/>
          <w:szCs w:val="24"/>
        </w:rPr>
        <w:t xml:space="preserve">lest it incentivizes </w:t>
      </w:r>
      <w:r w:rsidR="00913556" w:rsidRPr="00E07B7E">
        <w:rPr>
          <w:rFonts w:ascii="Times New Roman" w:hAnsi="Times New Roman" w:cs="Times New Roman"/>
          <w:sz w:val="24"/>
          <w:szCs w:val="24"/>
        </w:rPr>
        <w:t xml:space="preserve">others </w:t>
      </w:r>
      <w:r w:rsidR="000B01C1" w:rsidRPr="00E07B7E">
        <w:rPr>
          <w:rFonts w:ascii="Times New Roman" w:hAnsi="Times New Roman" w:cs="Times New Roman"/>
          <w:sz w:val="24"/>
          <w:szCs w:val="24"/>
        </w:rPr>
        <w:t>to</w:t>
      </w:r>
      <w:r w:rsidR="00913556" w:rsidRPr="00E07B7E">
        <w:rPr>
          <w:rFonts w:ascii="Times New Roman" w:hAnsi="Times New Roman" w:cs="Times New Roman"/>
          <w:sz w:val="24"/>
          <w:szCs w:val="24"/>
        </w:rPr>
        <w:t xml:space="preserve"> make similar claims.</w:t>
      </w:r>
      <w:r w:rsidR="004C599A" w:rsidRPr="00E07B7E">
        <w:rPr>
          <w:rStyle w:val="FootnoteReference"/>
          <w:rFonts w:ascii="Times New Roman" w:hAnsi="Times New Roman" w:cs="Times New Roman"/>
          <w:sz w:val="24"/>
          <w:szCs w:val="24"/>
        </w:rPr>
        <w:footnoteReference w:id="69"/>
      </w:r>
      <w:r w:rsidR="00913556" w:rsidRPr="00E07B7E">
        <w:rPr>
          <w:rFonts w:ascii="Times New Roman" w:hAnsi="Times New Roman" w:cs="Times New Roman"/>
          <w:sz w:val="24"/>
          <w:szCs w:val="24"/>
        </w:rPr>
        <w:t xml:space="preserve"> </w:t>
      </w:r>
      <w:r w:rsidR="000B01C1" w:rsidRPr="00E07B7E">
        <w:rPr>
          <w:rFonts w:ascii="Times New Roman" w:hAnsi="Times New Roman" w:cs="Times New Roman"/>
          <w:sz w:val="24"/>
          <w:szCs w:val="24"/>
        </w:rPr>
        <w:t xml:space="preserve">It is </w:t>
      </w:r>
      <w:r w:rsidR="00F02342">
        <w:rPr>
          <w:rFonts w:ascii="Times New Roman" w:hAnsi="Times New Roman" w:cs="Times New Roman"/>
          <w:sz w:val="24"/>
          <w:szCs w:val="24"/>
        </w:rPr>
        <w:t>reasonable to assume</w:t>
      </w:r>
      <w:r w:rsidR="000B01C1" w:rsidRPr="00E07B7E">
        <w:rPr>
          <w:rFonts w:ascii="Times New Roman" w:hAnsi="Times New Roman" w:cs="Times New Roman"/>
          <w:sz w:val="24"/>
          <w:szCs w:val="24"/>
        </w:rPr>
        <w:t xml:space="preserve"> that rightsholders received some value, and gave up some value, to obtain these settlements, but to judge whether remedy was achieved would be speculation uninformed by facts. </w:t>
      </w:r>
      <w:r w:rsidR="00B04561">
        <w:rPr>
          <w:rFonts w:ascii="Times New Roman" w:hAnsi="Times New Roman" w:cs="Times New Roman"/>
          <w:sz w:val="24"/>
          <w:szCs w:val="24"/>
        </w:rPr>
        <w:t xml:space="preserve">Once a claim was identified as being in Group </w:t>
      </w:r>
      <w:r w:rsidR="009F190A">
        <w:rPr>
          <w:rFonts w:ascii="Times New Roman" w:hAnsi="Times New Roman" w:cs="Times New Roman"/>
          <w:sz w:val="24"/>
          <w:szCs w:val="24"/>
        </w:rPr>
        <w:t xml:space="preserve">3, </w:t>
      </w:r>
      <w:r w:rsidR="007731BD">
        <w:rPr>
          <w:rFonts w:ascii="Times New Roman" w:hAnsi="Times New Roman" w:cs="Times New Roman"/>
          <w:sz w:val="24"/>
          <w:szCs w:val="24"/>
        </w:rPr>
        <w:t>we did not</w:t>
      </w:r>
      <w:r w:rsidR="009F190A">
        <w:rPr>
          <w:rFonts w:ascii="Times New Roman" w:hAnsi="Times New Roman" w:cs="Times New Roman"/>
          <w:sz w:val="24"/>
          <w:szCs w:val="24"/>
        </w:rPr>
        <w:t xml:space="preserve"> investigat</w:t>
      </w:r>
      <w:r w:rsidR="007731BD">
        <w:rPr>
          <w:rFonts w:ascii="Times New Roman" w:hAnsi="Times New Roman" w:cs="Times New Roman"/>
          <w:sz w:val="24"/>
          <w:szCs w:val="24"/>
        </w:rPr>
        <w:t>e it any further.</w:t>
      </w:r>
    </w:p>
    <w:p w14:paraId="796C5B45" w14:textId="415A66AC"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 The Group 2 claims were the ones in which the claimant did not prevail and was not awarded any remedy. These varied from a ruling by the </w:t>
      </w:r>
      <w:r w:rsidR="00C86E7C" w:rsidRPr="00E07B7E">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C86E7C" w:rsidRPr="00E07B7E">
        <w:rPr>
          <w:rFonts w:ascii="Times New Roman" w:hAnsi="Times New Roman" w:cs="Times New Roman"/>
          <w:sz w:val="24"/>
          <w:szCs w:val="24"/>
        </w:rPr>
        <w:t>p</w:t>
      </w:r>
      <w:r w:rsidRPr="00E07B7E">
        <w:rPr>
          <w:rFonts w:ascii="Times New Roman" w:hAnsi="Times New Roman" w:cs="Times New Roman"/>
          <w:sz w:val="24"/>
          <w:szCs w:val="24"/>
        </w:rPr>
        <w:t xml:space="preserve">anel that the respondent company’s position was correct, to the claim being dismissed for lack of prosecution and responsiveness by the claimant, to the claim being withdrawn without explanation. </w:t>
      </w:r>
      <w:r w:rsidR="00B21755">
        <w:rPr>
          <w:rFonts w:ascii="Times New Roman" w:hAnsi="Times New Roman" w:cs="Times New Roman"/>
          <w:sz w:val="24"/>
          <w:szCs w:val="24"/>
        </w:rPr>
        <w:t xml:space="preserve">Once </w:t>
      </w:r>
      <w:r w:rsidR="00B529BC">
        <w:rPr>
          <w:rFonts w:ascii="Times New Roman" w:hAnsi="Times New Roman" w:cs="Times New Roman"/>
          <w:sz w:val="24"/>
          <w:szCs w:val="24"/>
        </w:rPr>
        <w:t xml:space="preserve">a claim </w:t>
      </w:r>
      <w:r w:rsidR="00B21755">
        <w:rPr>
          <w:rFonts w:ascii="Times New Roman" w:hAnsi="Times New Roman" w:cs="Times New Roman"/>
          <w:sz w:val="24"/>
          <w:szCs w:val="24"/>
        </w:rPr>
        <w:t xml:space="preserve">was identified as </w:t>
      </w:r>
      <w:r w:rsidR="00B529BC">
        <w:rPr>
          <w:rFonts w:ascii="Times New Roman" w:hAnsi="Times New Roman" w:cs="Times New Roman"/>
          <w:sz w:val="24"/>
          <w:szCs w:val="24"/>
        </w:rPr>
        <w:t xml:space="preserve">being in Group 2, we did not investigate it any further. </w:t>
      </w:r>
    </w:p>
    <w:p w14:paraId="5AF9529B" w14:textId="4421AA0D" w:rsidR="00DF7E51"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The Group 1</w:t>
      </w:r>
      <w:r w:rsidR="00B529BC">
        <w:rPr>
          <w:rFonts w:ascii="Times New Roman" w:hAnsi="Times New Roman" w:cs="Times New Roman"/>
          <w:sz w:val="24"/>
          <w:szCs w:val="24"/>
        </w:rPr>
        <w:t xml:space="preserve"> claims</w:t>
      </w:r>
      <w:r w:rsidRPr="00E07B7E">
        <w:rPr>
          <w:rFonts w:ascii="Times New Roman" w:hAnsi="Times New Roman" w:cs="Times New Roman"/>
          <w:sz w:val="24"/>
          <w:szCs w:val="24"/>
        </w:rPr>
        <w:t xml:space="preserve"> </w:t>
      </w:r>
      <w:r w:rsidR="001F571E">
        <w:rPr>
          <w:rFonts w:ascii="Times New Roman" w:hAnsi="Times New Roman" w:cs="Times New Roman"/>
          <w:sz w:val="24"/>
          <w:szCs w:val="24"/>
        </w:rPr>
        <w:t xml:space="preserve">(ruling in favor of claimants) were the focus of our remaining research and analysis. These </w:t>
      </w:r>
      <w:r w:rsidRPr="00E07B7E">
        <w:rPr>
          <w:rFonts w:ascii="Times New Roman" w:hAnsi="Times New Roman" w:cs="Times New Roman"/>
          <w:sz w:val="24"/>
          <w:szCs w:val="24"/>
        </w:rPr>
        <w:t xml:space="preserve">claims were further investigated to determine what remedy was </w:t>
      </w:r>
      <w:proofErr w:type="gramStart"/>
      <w:r w:rsidRPr="00E07B7E">
        <w:rPr>
          <w:rFonts w:ascii="Times New Roman" w:hAnsi="Times New Roman" w:cs="Times New Roman"/>
          <w:sz w:val="24"/>
          <w:szCs w:val="24"/>
        </w:rPr>
        <w:t>actually received</w:t>
      </w:r>
      <w:proofErr w:type="gramEnd"/>
      <w:r w:rsidRPr="00E07B7E">
        <w:rPr>
          <w:rFonts w:ascii="Times New Roman" w:hAnsi="Times New Roman" w:cs="Times New Roman"/>
          <w:sz w:val="24"/>
          <w:szCs w:val="24"/>
        </w:rPr>
        <w:t xml:space="preserve"> by the claimants</w:t>
      </w:r>
      <w:r w:rsidR="00867B39">
        <w:rPr>
          <w:rFonts w:ascii="Times New Roman" w:hAnsi="Times New Roman" w:cs="Times New Roman"/>
          <w:sz w:val="24"/>
          <w:szCs w:val="24"/>
        </w:rPr>
        <w:t xml:space="preserve"> according to the RSPO claim files</w:t>
      </w:r>
      <w:r w:rsidRPr="00E07B7E">
        <w:rPr>
          <w:rFonts w:ascii="Times New Roman" w:hAnsi="Times New Roman" w:cs="Times New Roman"/>
          <w:sz w:val="24"/>
          <w:szCs w:val="24"/>
        </w:rPr>
        <w:t xml:space="preserve">. </w:t>
      </w:r>
      <w:r w:rsidR="00ED66C4">
        <w:rPr>
          <w:rFonts w:ascii="Times New Roman" w:hAnsi="Times New Roman" w:cs="Times New Roman"/>
          <w:sz w:val="24"/>
          <w:szCs w:val="24"/>
        </w:rPr>
        <w:t xml:space="preserve">We noted what remedy was ordered </w:t>
      </w:r>
      <w:r w:rsidR="00ED66C4">
        <w:rPr>
          <w:rFonts w:ascii="Times New Roman" w:hAnsi="Times New Roman" w:cs="Times New Roman"/>
          <w:sz w:val="24"/>
          <w:szCs w:val="24"/>
        </w:rPr>
        <w:lastRenderedPageBreak/>
        <w:t xml:space="preserve">by RSPO, </w:t>
      </w:r>
      <w:r w:rsidR="00D12B9E">
        <w:rPr>
          <w:rFonts w:ascii="Times New Roman" w:hAnsi="Times New Roman" w:cs="Times New Roman"/>
          <w:sz w:val="24"/>
          <w:szCs w:val="24"/>
        </w:rPr>
        <w:t xml:space="preserve">but because our focus is on remedy, our goal was to determine what </w:t>
      </w:r>
      <w:proofErr w:type="gramStart"/>
      <w:r w:rsidR="00D12B9E">
        <w:rPr>
          <w:rFonts w:ascii="Times New Roman" w:hAnsi="Times New Roman" w:cs="Times New Roman"/>
          <w:sz w:val="24"/>
          <w:szCs w:val="24"/>
        </w:rPr>
        <w:t>actually happened</w:t>
      </w:r>
      <w:proofErr w:type="gramEnd"/>
      <w:r w:rsidR="00D12B9E">
        <w:rPr>
          <w:rFonts w:ascii="Times New Roman" w:hAnsi="Times New Roman" w:cs="Times New Roman"/>
          <w:sz w:val="24"/>
          <w:szCs w:val="24"/>
        </w:rPr>
        <w:t xml:space="preserve">. </w:t>
      </w:r>
    </w:p>
    <w:p w14:paraId="3AC4BBCF" w14:textId="390C0BCE"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In </w:t>
      </w:r>
      <w:r w:rsidR="00F32849">
        <w:rPr>
          <w:rFonts w:ascii="Times New Roman" w:hAnsi="Times New Roman" w:cs="Times New Roman"/>
          <w:sz w:val="24"/>
          <w:szCs w:val="24"/>
        </w:rPr>
        <w:t xml:space="preserve">one important subset of Group 1 claims, </w:t>
      </w:r>
      <w:r w:rsidR="006A758C">
        <w:rPr>
          <w:rFonts w:ascii="Times New Roman" w:hAnsi="Times New Roman" w:cs="Times New Roman"/>
          <w:sz w:val="24"/>
          <w:szCs w:val="24"/>
        </w:rPr>
        <w:t xml:space="preserve">in response to rulings against </w:t>
      </w:r>
      <w:r w:rsidR="00246BFF">
        <w:rPr>
          <w:rFonts w:ascii="Times New Roman" w:hAnsi="Times New Roman" w:cs="Times New Roman"/>
          <w:sz w:val="24"/>
          <w:szCs w:val="24"/>
        </w:rPr>
        <w:t xml:space="preserve">them, </w:t>
      </w:r>
      <w:r w:rsidRPr="00E07B7E">
        <w:rPr>
          <w:rFonts w:ascii="Times New Roman" w:hAnsi="Times New Roman" w:cs="Times New Roman"/>
          <w:sz w:val="24"/>
          <w:szCs w:val="24"/>
        </w:rPr>
        <w:t xml:space="preserve">the </w:t>
      </w:r>
      <w:r w:rsidR="00F70C35">
        <w:rPr>
          <w:rFonts w:ascii="Times New Roman" w:hAnsi="Times New Roman" w:cs="Times New Roman"/>
          <w:sz w:val="24"/>
          <w:szCs w:val="24"/>
        </w:rPr>
        <w:t xml:space="preserve">respondent </w:t>
      </w:r>
      <w:r w:rsidRPr="00E07B7E">
        <w:rPr>
          <w:rFonts w:ascii="Times New Roman" w:hAnsi="Times New Roman" w:cs="Times New Roman"/>
          <w:sz w:val="24"/>
          <w:szCs w:val="24"/>
        </w:rPr>
        <w:t>compan</w:t>
      </w:r>
      <w:r w:rsidR="00246BFF">
        <w:rPr>
          <w:rFonts w:ascii="Times New Roman" w:hAnsi="Times New Roman" w:cs="Times New Roman"/>
          <w:sz w:val="24"/>
          <w:szCs w:val="24"/>
        </w:rPr>
        <w:t>ies</w:t>
      </w:r>
      <w:r w:rsidRPr="00E07B7E">
        <w:rPr>
          <w:rFonts w:ascii="Times New Roman" w:hAnsi="Times New Roman" w:cs="Times New Roman"/>
          <w:sz w:val="24"/>
          <w:szCs w:val="24"/>
        </w:rPr>
        <w:t xml:space="preserve"> left RSPO</w:t>
      </w:r>
      <w:r w:rsidR="002650C3">
        <w:rPr>
          <w:rFonts w:ascii="Times New Roman" w:hAnsi="Times New Roman" w:cs="Times New Roman"/>
          <w:sz w:val="24"/>
          <w:szCs w:val="24"/>
        </w:rPr>
        <w:t xml:space="preserve">, </w:t>
      </w:r>
      <w:r w:rsidRPr="00E07B7E">
        <w:rPr>
          <w:rFonts w:ascii="Times New Roman" w:hAnsi="Times New Roman" w:cs="Times New Roman"/>
          <w:sz w:val="24"/>
          <w:szCs w:val="24"/>
        </w:rPr>
        <w:t>or the operation at issue was sold to a company that was not an RSPO member</w:t>
      </w:r>
      <w:r w:rsidR="00246BFF">
        <w:rPr>
          <w:rFonts w:ascii="Times New Roman" w:hAnsi="Times New Roman" w:cs="Times New Roman"/>
          <w:sz w:val="24"/>
          <w:szCs w:val="24"/>
        </w:rPr>
        <w:t>.</w:t>
      </w:r>
      <w:r w:rsidRPr="00E07B7E">
        <w:rPr>
          <w:rFonts w:ascii="Times New Roman" w:hAnsi="Times New Roman" w:cs="Times New Roman"/>
          <w:sz w:val="24"/>
          <w:szCs w:val="24"/>
        </w:rPr>
        <w:t xml:space="preserve"> </w:t>
      </w:r>
      <w:r w:rsidR="002650C3">
        <w:rPr>
          <w:rFonts w:ascii="Times New Roman" w:hAnsi="Times New Roman" w:cs="Times New Roman"/>
          <w:sz w:val="24"/>
          <w:szCs w:val="24"/>
        </w:rPr>
        <w:t xml:space="preserve">In one case, the company was </w:t>
      </w:r>
      <w:r w:rsidR="00246BFF">
        <w:rPr>
          <w:rFonts w:ascii="Times New Roman" w:hAnsi="Times New Roman" w:cs="Times New Roman"/>
          <w:sz w:val="24"/>
          <w:szCs w:val="24"/>
        </w:rPr>
        <w:t xml:space="preserve">ordered </w:t>
      </w:r>
      <w:r w:rsidR="002A2152" w:rsidRPr="002A2152">
        <w:rPr>
          <w:rFonts w:ascii="Times New Roman" w:hAnsi="Times New Roman" w:cs="Times New Roman"/>
          <w:sz w:val="24"/>
          <w:szCs w:val="24"/>
        </w:rPr>
        <w:t>by the Complaints Panel</w:t>
      </w:r>
      <w:r w:rsidR="002A2152" w:rsidRPr="002A2152" w:rsidDel="00246BFF">
        <w:rPr>
          <w:rFonts w:ascii="Times New Roman" w:hAnsi="Times New Roman" w:cs="Times New Roman"/>
          <w:sz w:val="24"/>
          <w:szCs w:val="24"/>
        </w:rPr>
        <w:t xml:space="preserve"> </w:t>
      </w:r>
      <w:r w:rsidR="002650C3">
        <w:rPr>
          <w:rFonts w:ascii="Times New Roman" w:hAnsi="Times New Roman" w:cs="Times New Roman"/>
          <w:sz w:val="24"/>
          <w:szCs w:val="24"/>
        </w:rPr>
        <w:t>to leave RSPO</w:t>
      </w:r>
      <w:r w:rsidRPr="00E07B7E">
        <w:rPr>
          <w:rFonts w:ascii="Times New Roman" w:hAnsi="Times New Roman" w:cs="Times New Roman"/>
          <w:sz w:val="24"/>
          <w:szCs w:val="24"/>
        </w:rPr>
        <w:t xml:space="preserve">. For these claims no remedy </w:t>
      </w:r>
      <w:r w:rsidR="00F32849">
        <w:rPr>
          <w:rFonts w:ascii="Times New Roman" w:hAnsi="Times New Roman" w:cs="Times New Roman"/>
          <w:sz w:val="24"/>
          <w:szCs w:val="24"/>
        </w:rPr>
        <w:t xml:space="preserve">at all </w:t>
      </w:r>
      <w:r w:rsidRPr="00E07B7E">
        <w:rPr>
          <w:rFonts w:ascii="Times New Roman" w:hAnsi="Times New Roman" w:cs="Times New Roman"/>
          <w:sz w:val="24"/>
          <w:szCs w:val="24"/>
        </w:rPr>
        <w:t xml:space="preserve">was </w:t>
      </w:r>
      <w:r w:rsidR="00F70C35">
        <w:rPr>
          <w:rFonts w:ascii="Times New Roman" w:hAnsi="Times New Roman" w:cs="Times New Roman"/>
          <w:sz w:val="24"/>
          <w:szCs w:val="24"/>
        </w:rPr>
        <w:t xml:space="preserve">actually </w:t>
      </w:r>
      <w:r w:rsidR="00F32849">
        <w:rPr>
          <w:rFonts w:ascii="Times New Roman" w:hAnsi="Times New Roman" w:cs="Times New Roman"/>
          <w:sz w:val="24"/>
          <w:szCs w:val="24"/>
        </w:rPr>
        <w:t xml:space="preserve">received </w:t>
      </w:r>
      <w:r w:rsidR="00B678A4">
        <w:rPr>
          <w:rFonts w:ascii="Times New Roman" w:hAnsi="Times New Roman" w:cs="Times New Roman"/>
          <w:sz w:val="24"/>
          <w:szCs w:val="24"/>
        </w:rPr>
        <w:t xml:space="preserve">by </w:t>
      </w:r>
      <w:r w:rsidR="002650C3">
        <w:rPr>
          <w:rFonts w:ascii="Times New Roman" w:hAnsi="Times New Roman" w:cs="Times New Roman"/>
          <w:sz w:val="24"/>
          <w:szCs w:val="24"/>
        </w:rPr>
        <w:t>the rightsholders</w:t>
      </w:r>
      <w:r w:rsidRPr="00E07B7E">
        <w:rPr>
          <w:rFonts w:ascii="Times New Roman" w:hAnsi="Times New Roman" w:cs="Times New Roman"/>
          <w:sz w:val="24"/>
          <w:szCs w:val="24"/>
        </w:rPr>
        <w:t xml:space="preserve">, due to the company or operation intentionally leaving RSPO’s </w:t>
      </w:r>
      <w:proofErr w:type="gramStart"/>
      <w:r w:rsidRPr="00E07B7E">
        <w:rPr>
          <w:rFonts w:ascii="Times New Roman" w:hAnsi="Times New Roman" w:cs="Times New Roman"/>
          <w:sz w:val="24"/>
          <w:szCs w:val="24"/>
        </w:rPr>
        <w:t>jurisdiction</w:t>
      </w:r>
      <w:r w:rsidR="002650C3">
        <w:rPr>
          <w:rFonts w:ascii="Times New Roman" w:hAnsi="Times New Roman" w:cs="Times New Roman"/>
          <w:sz w:val="24"/>
          <w:szCs w:val="24"/>
        </w:rPr>
        <w:t>, or</w:t>
      </w:r>
      <w:proofErr w:type="gramEnd"/>
      <w:r w:rsidR="002650C3">
        <w:rPr>
          <w:rFonts w:ascii="Times New Roman" w:hAnsi="Times New Roman" w:cs="Times New Roman"/>
          <w:sz w:val="24"/>
          <w:szCs w:val="24"/>
        </w:rPr>
        <w:t xml:space="preserve"> being ordered to do so</w:t>
      </w:r>
      <w:r w:rsidRPr="00E07B7E">
        <w:rPr>
          <w:rFonts w:ascii="Times New Roman" w:hAnsi="Times New Roman" w:cs="Times New Roman"/>
          <w:sz w:val="24"/>
          <w:szCs w:val="24"/>
        </w:rPr>
        <w:t xml:space="preserve">. </w:t>
      </w:r>
      <w:r w:rsidR="00B678A4">
        <w:rPr>
          <w:rFonts w:ascii="Times New Roman" w:hAnsi="Times New Roman" w:cs="Times New Roman"/>
          <w:sz w:val="24"/>
          <w:szCs w:val="24"/>
        </w:rPr>
        <w:t xml:space="preserve">The RSPO system </w:t>
      </w:r>
      <w:proofErr w:type="gramStart"/>
      <w:r w:rsidR="00B678A4">
        <w:rPr>
          <w:rFonts w:ascii="Times New Roman" w:hAnsi="Times New Roman" w:cs="Times New Roman"/>
          <w:sz w:val="24"/>
          <w:szCs w:val="24"/>
        </w:rPr>
        <w:t xml:space="preserve">as a whole </w:t>
      </w:r>
      <w:r w:rsidR="00AE71CE">
        <w:rPr>
          <w:rFonts w:ascii="Times New Roman" w:hAnsi="Times New Roman" w:cs="Times New Roman"/>
          <w:sz w:val="24"/>
          <w:szCs w:val="24"/>
        </w:rPr>
        <w:t>may</w:t>
      </w:r>
      <w:proofErr w:type="gramEnd"/>
      <w:r w:rsidR="00AE71CE">
        <w:rPr>
          <w:rFonts w:ascii="Times New Roman" w:hAnsi="Times New Roman" w:cs="Times New Roman"/>
          <w:sz w:val="24"/>
          <w:szCs w:val="24"/>
        </w:rPr>
        <w:t xml:space="preserve"> well have been strengthened by </w:t>
      </w:r>
      <w:r w:rsidR="00A031FE">
        <w:rPr>
          <w:rFonts w:ascii="Times New Roman" w:hAnsi="Times New Roman" w:cs="Times New Roman"/>
          <w:sz w:val="24"/>
          <w:szCs w:val="24"/>
        </w:rPr>
        <w:t xml:space="preserve">removing these companies from RSPO certification, but that is an issue </w:t>
      </w:r>
      <w:r w:rsidR="00D66E32">
        <w:rPr>
          <w:rFonts w:ascii="Times New Roman" w:hAnsi="Times New Roman" w:cs="Times New Roman"/>
          <w:sz w:val="24"/>
          <w:szCs w:val="24"/>
        </w:rPr>
        <w:t>separate from</w:t>
      </w:r>
      <w:r w:rsidR="0026535C">
        <w:rPr>
          <w:rFonts w:ascii="Times New Roman" w:hAnsi="Times New Roman" w:cs="Times New Roman"/>
          <w:sz w:val="24"/>
          <w:szCs w:val="24"/>
        </w:rPr>
        <w:t xml:space="preserve"> that of remedy for rightholders. </w:t>
      </w:r>
      <w:r w:rsidR="00F32849">
        <w:rPr>
          <w:rFonts w:ascii="Times New Roman" w:hAnsi="Times New Roman" w:cs="Times New Roman"/>
          <w:sz w:val="24"/>
          <w:szCs w:val="24"/>
        </w:rPr>
        <w:t>The rightsholder</w:t>
      </w:r>
      <w:r w:rsidR="00CE1DC5">
        <w:rPr>
          <w:rFonts w:ascii="Times New Roman" w:hAnsi="Times New Roman" w:cs="Times New Roman"/>
          <w:sz w:val="24"/>
          <w:szCs w:val="24"/>
        </w:rPr>
        <w:t>s</w:t>
      </w:r>
      <w:r w:rsidR="00F32849">
        <w:rPr>
          <w:rFonts w:ascii="Times New Roman" w:hAnsi="Times New Roman" w:cs="Times New Roman"/>
          <w:sz w:val="24"/>
          <w:szCs w:val="24"/>
        </w:rPr>
        <w:t xml:space="preserve"> received nothing</w:t>
      </w:r>
      <w:r w:rsidR="000F2FBC">
        <w:rPr>
          <w:rFonts w:ascii="Times New Roman" w:hAnsi="Times New Roman" w:cs="Times New Roman"/>
          <w:sz w:val="24"/>
          <w:szCs w:val="24"/>
        </w:rPr>
        <w:t xml:space="preserve"> in these cases</w:t>
      </w:r>
      <w:r w:rsidR="00CE1DC5">
        <w:rPr>
          <w:rFonts w:ascii="Times New Roman" w:hAnsi="Times New Roman" w:cs="Times New Roman"/>
          <w:sz w:val="24"/>
          <w:szCs w:val="24"/>
        </w:rPr>
        <w:t xml:space="preserve">. </w:t>
      </w:r>
      <w:r w:rsidR="00396022">
        <w:rPr>
          <w:rFonts w:ascii="Times New Roman" w:hAnsi="Times New Roman" w:cs="Times New Roman"/>
          <w:sz w:val="24"/>
          <w:szCs w:val="24"/>
        </w:rPr>
        <w:t xml:space="preserve">We did further review of media reports, NGO and company statements and </w:t>
      </w:r>
      <w:r w:rsidR="003A6F26">
        <w:rPr>
          <w:rFonts w:ascii="Times New Roman" w:hAnsi="Times New Roman" w:cs="Times New Roman"/>
          <w:sz w:val="24"/>
          <w:szCs w:val="24"/>
        </w:rPr>
        <w:t>interview</w:t>
      </w:r>
      <w:r w:rsidR="00D00268">
        <w:rPr>
          <w:rFonts w:ascii="Times New Roman" w:hAnsi="Times New Roman" w:cs="Times New Roman"/>
          <w:sz w:val="24"/>
          <w:szCs w:val="24"/>
        </w:rPr>
        <w:t>ed</w:t>
      </w:r>
      <w:r w:rsidR="003A6F26">
        <w:rPr>
          <w:rFonts w:ascii="Times New Roman" w:hAnsi="Times New Roman" w:cs="Times New Roman"/>
          <w:sz w:val="24"/>
          <w:szCs w:val="24"/>
        </w:rPr>
        <w:t xml:space="preserve"> some claimants </w:t>
      </w:r>
      <w:r w:rsidR="00396022">
        <w:rPr>
          <w:rFonts w:ascii="Times New Roman" w:hAnsi="Times New Roman" w:cs="Times New Roman"/>
          <w:sz w:val="24"/>
          <w:szCs w:val="24"/>
        </w:rPr>
        <w:t>regarding these claims.</w:t>
      </w:r>
      <w:r w:rsidR="003A6F26">
        <w:rPr>
          <w:rFonts w:ascii="Times New Roman" w:hAnsi="Times New Roman" w:cs="Times New Roman"/>
          <w:sz w:val="24"/>
          <w:szCs w:val="24"/>
        </w:rPr>
        <w:t xml:space="preserve"> The </w:t>
      </w:r>
      <w:r w:rsidR="00110844">
        <w:rPr>
          <w:rFonts w:ascii="Times New Roman" w:hAnsi="Times New Roman" w:cs="Times New Roman"/>
          <w:sz w:val="24"/>
          <w:szCs w:val="24"/>
        </w:rPr>
        <w:t xml:space="preserve">five </w:t>
      </w:r>
      <w:r w:rsidR="003A6F26">
        <w:rPr>
          <w:rFonts w:ascii="Times New Roman" w:hAnsi="Times New Roman" w:cs="Times New Roman"/>
          <w:sz w:val="24"/>
          <w:szCs w:val="24"/>
        </w:rPr>
        <w:t xml:space="preserve">claimants we spoke </w:t>
      </w:r>
      <w:r w:rsidR="00D00268">
        <w:rPr>
          <w:rFonts w:ascii="Times New Roman" w:hAnsi="Times New Roman" w:cs="Times New Roman"/>
          <w:sz w:val="24"/>
          <w:szCs w:val="24"/>
        </w:rPr>
        <w:t xml:space="preserve">to </w:t>
      </w:r>
      <w:r w:rsidR="003A6F26">
        <w:rPr>
          <w:rFonts w:ascii="Times New Roman" w:hAnsi="Times New Roman" w:cs="Times New Roman"/>
          <w:sz w:val="24"/>
          <w:szCs w:val="24"/>
        </w:rPr>
        <w:t>we</w:t>
      </w:r>
      <w:r w:rsidR="00D00268">
        <w:rPr>
          <w:rFonts w:ascii="Times New Roman" w:hAnsi="Times New Roman" w:cs="Times New Roman"/>
          <w:sz w:val="24"/>
          <w:szCs w:val="24"/>
        </w:rPr>
        <w:t>re</w:t>
      </w:r>
      <w:r w:rsidR="003A6F26">
        <w:rPr>
          <w:rFonts w:ascii="Times New Roman" w:hAnsi="Times New Roman" w:cs="Times New Roman"/>
          <w:sz w:val="24"/>
          <w:szCs w:val="24"/>
        </w:rPr>
        <w:t xml:space="preserve"> universally </w:t>
      </w:r>
      <w:r w:rsidR="00B20E37">
        <w:rPr>
          <w:rFonts w:ascii="Times New Roman" w:hAnsi="Times New Roman" w:cs="Times New Roman"/>
          <w:sz w:val="24"/>
          <w:szCs w:val="24"/>
        </w:rPr>
        <w:t>disappointed</w:t>
      </w:r>
      <w:r w:rsidR="001D5038">
        <w:rPr>
          <w:rFonts w:ascii="Times New Roman" w:hAnsi="Times New Roman" w:cs="Times New Roman"/>
          <w:sz w:val="24"/>
          <w:szCs w:val="24"/>
        </w:rPr>
        <w:t xml:space="preserve"> with the outcome of the process and frustrated that the RSPO claims mechanism was ineffectu</w:t>
      </w:r>
      <w:r w:rsidR="00B20E37">
        <w:rPr>
          <w:rFonts w:ascii="Times New Roman" w:hAnsi="Times New Roman" w:cs="Times New Roman"/>
          <w:sz w:val="24"/>
          <w:szCs w:val="24"/>
        </w:rPr>
        <w:t>al in these cases.</w:t>
      </w:r>
      <w:r w:rsidR="00B65773">
        <w:rPr>
          <w:rStyle w:val="FootnoteReference"/>
          <w:rFonts w:ascii="Times New Roman" w:hAnsi="Times New Roman" w:cs="Times New Roman"/>
          <w:sz w:val="24"/>
          <w:szCs w:val="24"/>
        </w:rPr>
        <w:footnoteReference w:id="70"/>
      </w:r>
      <w:r w:rsidR="00B20E37">
        <w:rPr>
          <w:rFonts w:ascii="Times New Roman" w:hAnsi="Times New Roman" w:cs="Times New Roman"/>
          <w:sz w:val="24"/>
          <w:szCs w:val="24"/>
        </w:rPr>
        <w:t xml:space="preserve"> </w:t>
      </w:r>
      <w:r w:rsidR="00396022">
        <w:rPr>
          <w:rFonts w:ascii="Times New Roman" w:hAnsi="Times New Roman" w:cs="Times New Roman"/>
          <w:sz w:val="24"/>
          <w:szCs w:val="24"/>
        </w:rPr>
        <w:t xml:space="preserve"> </w:t>
      </w:r>
    </w:p>
    <w:p w14:paraId="6A13BC89" w14:textId="594E4C24" w:rsidR="00B000A9"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For the remaining Group 1 claims, we contacted </w:t>
      </w:r>
      <w:r w:rsidR="004A0911">
        <w:rPr>
          <w:rFonts w:ascii="Times New Roman" w:hAnsi="Times New Roman" w:cs="Times New Roman"/>
          <w:sz w:val="24"/>
          <w:szCs w:val="24"/>
        </w:rPr>
        <w:t xml:space="preserve">the </w:t>
      </w:r>
      <w:r w:rsidR="00CE1DC5">
        <w:rPr>
          <w:rFonts w:ascii="Times New Roman" w:hAnsi="Times New Roman" w:cs="Times New Roman"/>
          <w:sz w:val="24"/>
          <w:szCs w:val="24"/>
        </w:rPr>
        <w:t xml:space="preserve">person or entity acting as the </w:t>
      </w:r>
      <w:r w:rsidRPr="00E07B7E">
        <w:rPr>
          <w:rFonts w:ascii="Times New Roman" w:hAnsi="Times New Roman" w:cs="Times New Roman"/>
          <w:sz w:val="24"/>
          <w:szCs w:val="24"/>
        </w:rPr>
        <w:t xml:space="preserve">representatives </w:t>
      </w:r>
      <w:r w:rsidR="000406B1">
        <w:rPr>
          <w:rFonts w:ascii="Times New Roman" w:hAnsi="Times New Roman" w:cs="Times New Roman"/>
          <w:sz w:val="24"/>
          <w:szCs w:val="24"/>
        </w:rPr>
        <w:t>of the claimant in the RSPO complaint mechanism. Very rarely, this was the rightsholder</w:t>
      </w:r>
      <w:r w:rsidR="009B3341">
        <w:rPr>
          <w:rFonts w:ascii="Times New Roman" w:hAnsi="Times New Roman" w:cs="Times New Roman"/>
          <w:sz w:val="24"/>
          <w:szCs w:val="24"/>
        </w:rPr>
        <w:t>s themselves, but was almost always a local or international NGO or labor union.</w:t>
      </w:r>
      <w:r w:rsidR="0096158C">
        <w:rPr>
          <w:rStyle w:val="FootnoteReference"/>
          <w:rFonts w:ascii="Times New Roman" w:hAnsi="Times New Roman" w:cs="Times New Roman"/>
          <w:sz w:val="24"/>
          <w:szCs w:val="24"/>
        </w:rPr>
        <w:footnoteReference w:id="71"/>
      </w:r>
      <w:r w:rsidR="009B3341">
        <w:rPr>
          <w:rFonts w:ascii="Times New Roman" w:hAnsi="Times New Roman" w:cs="Times New Roman"/>
          <w:sz w:val="24"/>
          <w:szCs w:val="24"/>
        </w:rPr>
        <w:t xml:space="preserve"> </w:t>
      </w:r>
      <w:r w:rsidR="00CD39F5">
        <w:rPr>
          <w:rFonts w:ascii="Times New Roman" w:hAnsi="Times New Roman" w:cs="Times New Roman"/>
          <w:sz w:val="24"/>
          <w:szCs w:val="24"/>
        </w:rPr>
        <w:t xml:space="preserve">As discussed in more detail below, there were </w:t>
      </w:r>
      <w:r w:rsidR="001B5E3D">
        <w:rPr>
          <w:rFonts w:ascii="Times New Roman" w:hAnsi="Times New Roman" w:cs="Times New Roman"/>
          <w:sz w:val="24"/>
          <w:szCs w:val="24"/>
        </w:rPr>
        <w:t xml:space="preserve">four such Group I </w:t>
      </w:r>
      <w:proofErr w:type="gramStart"/>
      <w:r w:rsidR="001B5E3D">
        <w:rPr>
          <w:rFonts w:ascii="Times New Roman" w:hAnsi="Times New Roman" w:cs="Times New Roman"/>
          <w:sz w:val="24"/>
          <w:szCs w:val="24"/>
        </w:rPr>
        <w:t>claims</w:t>
      </w:r>
      <w:proofErr w:type="gramEnd"/>
      <w:r w:rsidR="001B5E3D">
        <w:rPr>
          <w:rFonts w:ascii="Times New Roman" w:hAnsi="Times New Roman" w:cs="Times New Roman"/>
          <w:sz w:val="24"/>
          <w:szCs w:val="24"/>
        </w:rPr>
        <w:t xml:space="preserve">. </w:t>
      </w:r>
      <w:r w:rsidR="00B404F7">
        <w:rPr>
          <w:rFonts w:ascii="Times New Roman" w:hAnsi="Times New Roman" w:cs="Times New Roman"/>
          <w:sz w:val="24"/>
          <w:szCs w:val="24"/>
        </w:rPr>
        <w:t>We interview</w:t>
      </w:r>
      <w:r w:rsidR="00CD39F5">
        <w:rPr>
          <w:rFonts w:ascii="Times New Roman" w:hAnsi="Times New Roman" w:cs="Times New Roman"/>
          <w:sz w:val="24"/>
          <w:szCs w:val="24"/>
        </w:rPr>
        <w:t xml:space="preserve">ed </w:t>
      </w:r>
      <w:r w:rsidR="007E7164">
        <w:rPr>
          <w:rFonts w:ascii="Times New Roman" w:hAnsi="Times New Roman" w:cs="Times New Roman"/>
          <w:sz w:val="24"/>
          <w:szCs w:val="24"/>
        </w:rPr>
        <w:t>ten</w:t>
      </w:r>
      <w:r w:rsidR="00110844">
        <w:rPr>
          <w:rFonts w:ascii="Times New Roman" w:hAnsi="Times New Roman" w:cs="Times New Roman"/>
          <w:sz w:val="24"/>
          <w:szCs w:val="24"/>
        </w:rPr>
        <w:t xml:space="preserve"> </w:t>
      </w:r>
      <w:r w:rsidR="00CD39F5">
        <w:rPr>
          <w:rFonts w:ascii="Times New Roman" w:hAnsi="Times New Roman" w:cs="Times New Roman"/>
          <w:sz w:val="24"/>
          <w:szCs w:val="24"/>
        </w:rPr>
        <w:t xml:space="preserve">individuals </w:t>
      </w:r>
      <w:r w:rsidR="00630C91">
        <w:rPr>
          <w:rFonts w:ascii="Times New Roman" w:hAnsi="Times New Roman" w:cs="Times New Roman"/>
          <w:sz w:val="24"/>
          <w:szCs w:val="24"/>
        </w:rPr>
        <w:t>who worked for</w:t>
      </w:r>
      <w:r w:rsidR="007E7164">
        <w:rPr>
          <w:rFonts w:ascii="Times New Roman" w:hAnsi="Times New Roman" w:cs="Times New Roman"/>
          <w:sz w:val="24"/>
          <w:szCs w:val="24"/>
        </w:rPr>
        <w:t xml:space="preserve"> NGOs that brought the </w:t>
      </w:r>
      <w:r w:rsidR="00110844">
        <w:rPr>
          <w:rFonts w:ascii="Times New Roman" w:hAnsi="Times New Roman" w:cs="Times New Roman"/>
          <w:sz w:val="24"/>
          <w:szCs w:val="24"/>
        </w:rPr>
        <w:t xml:space="preserve">four </w:t>
      </w:r>
      <w:r w:rsidR="007E7164">
        <w:rPr>
          <w:rFonts w:ascii="Times New Roman" w:hAnsi="Times New Roman" w:cs="Times New Roman"/>
          <w:sz w:val="24"/>
          <w:szCs w:val="24"/>
        </w:rPr>
        <w:t>claims.</w:t>
      </w:r>
      <w:r w:rsidR="00110844" w:rsidRPr="00110844">
        <w:rPr>
          <w:rStyle w:val="FootnoteReference"/>
          <w:rFonts w:ascii="Times New Roman" w:hAnsi="Times New Roman" w:cs="Times New Roman"/>
          <w:sz w:val="24"/>
          <w:szCs w:val="24"/>
        </w:rPr>
        <w:t xml:space="preserve"> </w:t>
      </w:r>
      <w:r w:rsidR="00110844">
        <w:rPr>
          <w:rStyle w:val="FootnoteReference"/>
          <w:rFonts w:ascii="Times New Roman" w:hAnsi="Times New Roman" w:cs="Times New Roman"/>
          <w:sz w:val="24"/>
          <w:szCs w:val="24"/>
        </w:rPr>
        <w:footnoteReference w:id="72"/>
      </w:r>
      <w:r w:rsidR="00110844">
        <w:rPr>
          <w:rFonts w:ascii="Times New Roman" w:hAnsi="Times New Roman" w:cs="Times New Roman"/>
          <w:sz w:val="24"/>
          <w:szCs w:val="24"/>
        </w:rPr>
        <w:t xml:space="preserve"> </w:t>
      </w:r>
      <w:r w:rsidR="007E7164">
        <w:rPr>
          <w:rFonts w:ascii="Times New Roman" w:hAnsi="Times New Roman" w:cs="Times New Roman"/>
          <w:sz w:val="24"/>
          <w:szCs w:val="24"/>
        </w:rPr>
        <w:t xml:space="preserve"> </w:t>
      </w:r>
      <w:r w:rsidR="00CD39F5">
        <w:rPr>
          <w:rFonts w:ascii="Times New Roman" w:hAnsi="Times New Roman" w:cs="Times New Roman"/>
          <w:sz w:val="24"/>
          <w:szCs w:val="24"/>
        </w:rPr>
        <w:t xml:space="preserve"> </w:t>
      </w:r>
      <w:r w:rsidR="00E81519">
        <w:rPr>
          <w:rFonts w:ascii="Times New Roman" w:hAnsi="Times New Roman" w:cs="Times New Roman"/>
          <w:sz w:val="24"/>
          <w:szCs w:val="24"/>
        </w:rPr>
        <w:t xml:space="preserve">The goal of these interviews was to get the perspective of the </w:t>
      </w:r>
      <w:r w:rsidR="002A2152">
        <w:rPr>
          <w:rFonts w:ascii="Times New Roman" w:hAnsi="Times New Roman" w:cs="Times New Roman"/>
          <w:sz w:val="24"/>
          <w:szCs w:val="24"/>
        </w:rPr>
        <w:t>claimants</w:t>
      </w:r>
      <w:r w:rsidR="00E81519">
        <w:rPr>
          <w:rFonts w:ascii="Times New Roman" w:hAnsi="Times New Roman" w:cs="Times New Roman"/>
          <w:sz w:val="24"/>
          <w:szCs w:val="24"/>
        </w:rPr>
        <w:t xml:space="preserve"> </w:t>
      </w:r>
      <w:r w:rsidR="00EF583D">
        <w:rPr>
          <w:rFonts w:ascii="Times New Roman" w:hAnsi="Times New Roman" w:cs="Times New Roman"/>
          <w:sz w:val="24"/>
          <w:szCs w:val="24"/>
        </w:rPr>
        <w:t>o</w:t>
      </w:r>
      <w:r w:rsidR="00E81519">
        <w:rPr>
          <w:rFonts w:ascii="Times New Roman" w:hAnsi="Times New Roman" w:cs="Times New Roman"/>
          <w:sz w:val="24"/>
          <w:szCs w:val="24"/>
        </w:rPr>
        <w:t>n their use of the RSPO complaint mechanism generally</w:t>
      </w:r>
      <w:r w:rsidR="0037334D">
        <w:rPr>
          <w:rFonts w:ascii="Times New Roman" w:hAnsi="Times New Roman" w:cs="Times New Roman"/>
          <w:sz w:val="24"/>
          <w:szCs w:val="24"/>
        </w:rPr>
        <w:t xml:space="preserve"> and to confirm the facts as presented in the RSPO claim files. </w:t>
      </w:r>
      <w:proofErr w:type="gramStart"/>
      <w:r w:rsidR="0037334D">
        <w:rPr>
          <w:rFonts w:ascii="Times New Roman" w:hAnsi="Times New Roman" w:cs="Times New Roman"/>
          <w:sz w:val="24"/>
          <w:szCs w:val="24"/>
        </w:rPr>
        <w:t>In particular, we</w:t>
      </w:r>
      <w:proofErr w:type="gramEnd"/>
      <w:r w:rsidR="0037334D">
        <w:rPr>
          <w:rFonts w:ascii="Times New Roman" w:hAnsi="Times New Roman" w:cs="Times New Roman"/>
          <w:sz w:val="24"/>
          <w:szCs w:val="24"/>
        </w:rPr>
        <w:t xml:space="preserve"> wanted to confirm that the </w:t>
      </w:r>
      <w:r w:rsidRPr="00E07B7E">
        <w:rPr>
          <w:rFonts w:ascii="Times New Roman" w:hAnsi="Times New Roman" w:cs="Times New Roman"/>
          <w:sz w:val="24"/>
          <w:szCs w:val="24"/>
        </w:rPr>
        <w:t xml:space="preserve">orders made by RSPO had been carried out in reality and in what way </w:t>
      </w:r>
      <w:r w:rsidR="006177EB">
        <w:rPr>
          <w:rFonts w:ascii="Times New Roman" w:hAnsi="Times New Roman" w:cs="Times New Roman"/>
          <w:sz w:val="24"/>
          <w:szCs w:val="24"/>
        </w:rPr>
        <w:t xml:space="preserve">the claimants </w:t>
      </w:r>
      <w:r w:rsidRPr="00E07B7E">
        <w:rPr>
          <w:rFonts w:ascii="Times New Roman" w:hAnsi="Times New Roman" w:cs="Times New Roman"/>
          <w:sz w:val="24"/>
          <w:szCs w:val="24"/>
        </w:rPr>
        <w:t xml:space="preserve">had received a remedy for the violation of their human rights. </w:t>
      </w:r>
      <w:r w:rsidR="00EF583D">
        <w:rPr>
          <w:rFonts w:ascii="Times New Roman" w:hAnsi="Times New Roman" w:cs="Times New Roman"/>
          <w:sz w:val="24"/>
          <w:szCs w:val="24"/>
        </w:rPr>
        <w:t>Q</w:t>
      </w:r>
      <w:r w:rsidR="00032F58">
        <w:rPr>
          <w:rFonts w:ascii="Times New Roman" w:hAnsi="Times New Roman" w:cs="Times New Roman"/>
          <w:sz w:val="24"/>
          <w:szCs w:val="24"/>
        </w:rPr>
        <w:t xml:space="preserve">uestions </w:t>
      </w:r>
      <w:r w:rsidR="00EF583D">
        <w:rPr>
          <w:rFonts w:ascii="Times New Roman" w:hAnsi="Times New Roman" w:cs="Times New Roman"/>
          <w:sz w:val="24"/>
          <w:szCs w:val="24"/>
        </w:rPr>
        <w:t xml:space="preserve">were </w:t>
      </w:r>
      <w:r w:rsidR="00EF583D">
        <w:rPr>
          <w:rFonts w:ascii="Times New Roman" w:hAnsi="Times New Roman" w:cs="Times New Roman"/>
          <w:sz w:val="24"/>
          <w:szCs w:val="24"/>
        </w:rPr>
        <w:lastRenderedPageBreak/>
        <w:t xml:space="preserve">therefore asked which were </w:t>
      </w:r>
      <w:r w:rsidR="00032F58">
        <w:rPr>
          <w:rFonts w:ascii="Times New Roman" w:hAnsi="Times New Roman" w:cs="Times New Roman"/>
          <w:sz w:val="24"/>
          <w:szCs w:val="24"/>
        </w:rPr>
        <w:t>intended to elicit evidence of objective fact</w:t>
      </w:r>
      <w:r w:rsidR="00547425">
        <w:rPr>
          <w:rFonts w:ascii="Times New Roman" w:hAnsi="Times New Roman" w:cs="Times New Roman"/>
          <w:sz w:val="24"/>
          <w:szCs w:val="24"/>
        </w:rPr>
        <w:t>s</w:t>
      </w:r>
      <w:r w:rsidR="00032F58">
        <w:rPr>
          <w:rFonts w:ascii="Times New Roman" w:hAnsi="Times New Roman" w:cs="Times New Roman"/>
          <w:sz w:val="24"/>
          <w:szCs w:val="24"/>
        </w:rPr>
        <w:t xml:space="preserve">, such as whether </w:t>
      </w:r>
      <w:r w:rsidR="00010A11">
        <w:rPr>
          <w:rFonts w:ascii="Times New Roman" w:hAnsi="Times New Roman" w:cs="Times New Roman"/>
          <w:sz w:val="24"/>
          <w:szCs w:val="24"/>
        </w:rPr>
        <w:t>community land was still being used by a company as part of a palm oil plantation, or whether community member</w:t>
      </w:r>
      <w:r w:rsidR="00840724">
        <w:rPr>
          <w:rFonts w:ascii="Times New Roman" w:hAnsi="Times New Roman" w:cs="Times New Roman"/>
          <w:sz w:val="24"/>
          <w:szCs w:val="24"/>
        </w:rPr>
        <w:t>s</w:t>
      </w:r>
      <w:r w:rsidR="00010A11">
        <w:rPr>
          <w:rFonts w:ascii="Times New Roman" w:hAnsi="Times New Roman" w:cs="Times New Roman"/>
          <w:sz w:val="24"/>
          <w:szCs w:val="24"/>
        </w:rPr>
        <w:t xml:space="preserve"> were still incar</w:t>
      </w:r>
      <w:r w:rsidR="00547425">
        <w:rPr>
          <w:rFonts w:ascii="Times New Roman" w:hAnsi="Times New Roman" w:cs="Times New Roman"/>
          <w:sz w:val="24"/>
          <w:szCs w:val="24"/>
        </w:rPr>
        <w:t xml:space="preserve">cerated for anti-company protests. </w:t>
      </w:r>
    </w:p>
    <w:p w14:paraId="67A00156" w14:textId="2E845798" w:rsidR="00A24B29"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When, as discussed in more detail below, the claimants </w:t>
      </w:r>
      <w:r w:rsidR="006177EB">
        <w:rPr>
          <w:rFonts w:ascii="Times New Roman" w:hAnsi="Times New Roman" w:cs="Times New Roman"/>
          <w:sz w:val="24"/>
          <w:szCs w:val="24"/>
        </w:rPr>
        <w:t xml:space="preserve">representatives </w:t>
      </w:r>
      <w:r w:rsidRPr="00E07B7E">
        <w:rPr>
          <w:rFonts w:ascii="Times New Roman" w:hAnsi="Times New Roman" w:cs="Times New Roman"/>
          <w:sz w:val="24"/>
          <w:szCs w:val="24"/>
        </w:rPr>
        <w:t>did, in fact</w:t>
      </w:r>
      <w:r w:rsidR="004D217A">
        <w:rPr>
          <w:rFonts w:ascii="Times New Roman" w:hAnsi="Times New Roman" w:cs="Times New Roman"/>
          <w:sz w:val="24"/>
          <w:szCs w:val="24"/>
        </w:rPr>
        <w:t>,</w:t>
      </w:r>
      <w:r w:rsidRPr="00E07B7E">
        <w:rPr>
          <w:rFonts w:ascii="Times New Roman" w:hAnsi="Times New Roman" w:cs="Times New Roman"/>
          <w:sz w:val="24"/>
          <w:szCs w:val="24"/>
        </w:rPr>
        <w:t xml:space="preserve"> assert that there had been </w:t>
      </w:r>
      <w:r w:rsidR="002650C3">
        <w:rPr>
          <w:rFonts w:ascii="Times New Roman" w:hAnsi="Times New Roman" w:cs="Times New Roman"/>
          <w:sz w:val="24"/>
          <w:szCs w:val="24"/>
        </w:rPr>
        <w:t>some form of</w:t>
      </w:r>
      <w:r w:rsidRPr="00E07B7E">
        <w:rPr>
          <w:rFonts w:ascii="Times New Roman" w:hAnsi="Times New Roman" w:cs="Times New Roman"/>
          <w:sz w:val="24"/>
          <w:szCs w:val="24"/>
        </w:rPr>
        <w:t xml:space="preserve"> effective and meaningful remedy for their human rights violations, we visited the affected rightsholders in person to veri</w:t>
      </w:r>
      <w:r w:rsidR="00826046" w:rsidRPr="00E07B7E">
        <w:rPr>
          <w:rFonts w:ascii="Times New Roman" w:hAnsi="Times New Roman" w:cs="Times New Roman"/>
          <w:sz w:val="24"/>
          <w:szCs w:val="24"/>
        </w:rPr>
        <w:t>f</w:t>
      </w:r>
      <w:r w:rsidRPr="00E07B7E">
        <w:rPr>
          <w:rFonts w:ascii="Times New Roman" w:hAnsi="Times New Roman" w:cs="Times New Roman"/>
          <w:sz w:val="24"/>
          <w:szCs w:val="24"/>
        </w:rPr>
        <w:t xml:space="preserve">y the validity of their assertion, witness the situation on the ground and interview multiple rightsholders and people knowledgeable </w:t>
      </w:r>
      <w:r w:rsidR="00577240" w:rsidRPr="00E07B7E">
        <w:rPr>
          <w:rFonts w:ascii="Times New Roman" w:hAnsi="Times New Roman" w:cs="Times New Roman"/>
          <w:sz w:val="24"/>
          <w:szCs w:val="24"/>
        </w:rPr>
        <w:t>about</w:t>
      </w:r>
      <w:r w:rsidRPr="00E07B7E">
        <w:rPr>
          <w:rFonts w:ascii="Times New Roman" w:hAnsi="Times New Roman" w:cs="Times New Roman"/>
          <w:sz w:val="24"/>
          <w:szCs w:val="24"/>
        </w:rPr>
        <w:t xml:space="preserve"> the situation. </w:t>
      </w:r>
      <w:r w:rsidR="0099032C" w:rsidRPr="001659DC">
        <w:rPr>
          <w:rFonts w:ascii="Times New Roman" w:hAnsi="Times New Roman" w:cs="Times New Roman"/>
          <w:sz w:val="24"/>
          <w:szCs w:val="24"/>
        </w:rPr>
        <w:t>We did th</w:t>
      </w:r>
      <w:r w:rsidR="0021156B" w:rsidRPr="001659DC">
        <w:rPr>
          <w:rFonts w:ascii="Times New Roman" w:hAnsi="Times New Roman" w:cs="Times New Roman"/>
          <w:sz w:val="24"/>
          <w:szCs w:val="24"/>
        </w:rPr>
        <w:t>is</w:t>
      </w:r>
      <w:r w:rsidR="0099032C" w:rsidRPr="001659DC">
        <w:rPr>
          <w:rFonts w:ascii="Times New Roman" w:hAnsi="Times New Roman" w:cs="Times New Roman"/>
          <w:sz w:val="24"/>
          <w:szCs w:val="24"/>
        </w:rPr>
        <w:t xml:space="preserve"> because representative organizations often have their own objective</w:t>
      </w:r>
      <w:r w:rsidR="00830FB2" w:rsidRPr="001659DC">
        <w:rPr>
          <w:rFonts w:ascii="Times New Roman" w:hAnsi="Times New Roman" w:cs="Times New Roman"/>
          <w:sz w:val="24"/>
          <w:szCs w:val="24"/>
        </w:rPr>
        <w:t>s and perspectives that may be distinct from those of the rightsholders they represent.</w:t>
      </w:r>
      <w:r w:rsidR="00EF583D">
        <w:rPr>
          <w:rFonts w:ascii="Times New Roman" w:hAnsi="Times New Roman" w:cs="Times New Roman"/>
          <w:sz w:val="24"/>
          <w:szCs w:val="24"/>
        </w:rPr>
        <w:t xml:space="preserve"> </w:t>
      </w:r>
      <w:r w:rsidR="00F15BC6">
        <w:rPr>
          <w:rFonts w:ascii="Times New Roman" w:hAnsi="Times New Roman" w:cs="Times New Roman"/>
          <w:sz w:val="24"/>
          <w:szCs w:val="24"/>
        </w:rPr>
        <w:t xml:space="preserve">As explained below, there was only one case in which it was necessary to visit the rightholders themselves and witness the remedy that had been received. </w:t>
      </w:r>
      <w:r w:rsidR="002D20FF">
        <w:rPr>
          <w:rFonts w:ascii="Times New Roman" w:hAnsi="Times New Roman" w:cs="Times New Roman"/>
          <w:sz w:val="24"/>
          <w:szCs w:val="24"/>
        </w:rPr>
        <w:t xml:space="preserve">This claim was examined in detail. </w:t>
      </w:r>
      <w:r w:rsidR="00A24B29">
        <w:rPr>
          <w:rFonts w:ascii="Times New Roman" w:hAnsi="Times New Roman" w:cs="Times New Roman"/>
          <w:sz w:val="24"/>
          <w:szCs w:val="24"/>
        </w:rPr>
        <w:t xml:space="preserve">The area and community were visited four times over four years. </w:t>
      </w:r>
      <w:r w:rsidR="00F15BC6">
        <w:rPr>
          <w:rFonts w:ascii="Times New Roman" w:hAnsi="Times New Roman" w:cs="Times New Roman"/>
          <w:sz w:val="24"/>
          <w:szCs w:val="24"/>
        </w:rPr>
        <w:t>This was a land claim and the land itself was visited to confirm that it had not been incorporated into the palm oil plantation. We interviewed farmers working the land, community leaders, people who lived next to the land and company representative about the status and use of the land. In addition, we conducted semi-structured interviews with leaders among the claimant group, various individual community members, a lengthy public town hall meeting with the claimant community, an in-depth focus group with representative community members, and private interviews with multiple individual claimants.</w:t>
      </w:r>
      <w:r w:rsidR="004F7E23">
        <w:rPr>
          <w:rFonts w:ascii="Times New Roman" w:hAnsi="Times New Roman" w:cs="Times New Roman"/>
          <w:sz w:val="24"/>
          <w:szCs w:val="24"/>
        </w:rPr>
        <w:t xml:space="preserve"> In all</w:t>
      </w:r>
      <w:r w:rsidR="00141FDE">
        <w:rPr>
          <w:rFonts w:ascii="Times New Roman" w:hAnsi="Times New Roman" w:cs="Times New Roman"/>
          <w:sz w:val="24"/>
          <w:szCs w:val="24"/>
        </w:rPr>
        <w:t xml:space="preserve">, </w:t>
      </w:r>
      <w:r w:rsidR="00C71976">
        <w:rPr>
          <w:rFonts w:ascii="Times New Roman" w:hAnsi="Times New Roman" w:cs="Times New Roman"/>
          <w:sz w:val="24"/>
          <w:szCs w:val="24"/>
        </w:rPr>
        <w:t>eighty-nine</w:t>
      </w:r>
      <w:r w:rsidR="00141FDE">
        <w:rPr>
          <w:rFonts w:ascii="Times New Roman" w:hAnsi="Times New Roman" w:cs="Times New Roman"/>
          <w:sz w:val="24"/>
          <w:szCs w:val="24"/>
        </w:rPr>
        <w:t xml:space="preserve"> </w:t>
      </w:r>
      <w:r w:rsidR="00256151">
        <w:rPr>
          <w:rFonts w:ascii="Times New Roman" w:hAnsi="Times New Roman" w:cs="Times New Roman"/>
          <w:sz w:val="24"/>
          <w:szCs w:val="24"/>
        </w:rPr>
        <w:t>rightsholders</w:t>
      </w:r>
      <w:r w:rsidR="00141FDE">
        <w:rPr>
          <w:rFonts w:ascii="Times New Roman" w:hAnsi="Times New Roman" w:cs="Times New Roman"/>
          <w:sz w:val="24"/>
          <w:szCs w:val="24"/>
        </w:rPr>
        <w:t xml:space="preserve"> </w:t>
      </w:r>
      <w:r w:rsidR="00573B6F">
        <w:rPr>
          <w:rFonts w:ascii="Times New Roman" w:hAnsi="Times New Roman" w:cs="Times New Roman"/>
          <w:sz w:val="24"/>
          <w:szCs w:val="24"/>
        </w:rPr>
        <w:t xml:space="preserve">participated in the focus group or </w:t>
      </w:r>
      <w:r w:rsidR="00E77784">
        <w:rPr>
          <w:rFonts w:ascii="Times New Roman" w:hAnsi="Times New Roman" w:cs="Times New Roman"/>
          <w:sz w:val="24"/>
          <w:szCs w:val="24"/>
        </w:rPr>
        <w:t>group discussion</w:t>
      </w:r>
      <w:r w:rsidR="00406F29">
        <w:rPr>
          <w:rFonts w:ascii="Times New Roman" w:hAnsi="Times New Roman" w:cs="Times New Roman"/>
          <w:sz w:val="24"/>
          <w:szCs w:val="24"/>
        </w:rPr>
        <w:t>s</w:t>
      </w:r>
      <w:r w:rsidR="006E2162">
        <w:rPr>
          <w:rFonts w:ascii="Times New Roman" w:hAnsi="Times New Roman" w:cs="Times New Roman"/>
          <w:sz w:val="24"/>
          <w:szCs w:val="24"/>
        </w:rPr>
        <w:t xml:space="preserve"> </w:t>
      </w:r>
      <w:r w:rsidR="00181251">
        <w:rPr>
          <w:rFonts w:ascii="Times New Roman" w:hAnsi="Times New Roman" w:cs="Times New Roman"/>
          <w:sz w:val="24"/>
          <w:szCs w:val="24"/>
        </w:rPr>
        <w:t>we organized and ra</w:t>
      </w:r>
      <w:r w:rsidR="00A24B29">
        <w:rPr>
          <w:rFonts w:ascii="Times New Roman" w:hAnsi="Times New Roman" w:cs="Times New Roman"/>
          <w:sz w:val="24"/>
          <w:szCs w:val="24"/>
        </w:rPr>
        <w:t>n. I</w:t>
      </w:r>
      <w:r w:rsidR="006E2162">
        <w:rPr>
          <w:rFonts w:ascii="Times New Roman" w:hAnsi="Times New Roman" w:cs="Times New Roman"/>
          <w:sz w:val="24"/>
          <w:szCs w:val="24"/>
        </w:rPr>
        <w:t>n addition</w:t>
      </w:r>
      <w:r w:rsidR="00A24B29">
        <w:rPr>
          <w:rFonts w:ascii="Times New Roman" w:hAnsi="Times New Roman" w:cs="Times New Roman"/>
          <w:sz w:val="24"/>
          <w:szCs w:val="24"/>
        </w:rPr>
        <w:t>, t</w:t>
      </w:r>
      <w:r w:rsidR="00BF368C">
        <w:rPr>
          <w:rFonts w:ascii="Times New Roman" w:hAnsi="Times New Roman" w:cs="Times New Roman"/>
          <w:sz w:val="24"/>
          <w:szCs w:val="24"/>
        </w:rPr>
        <w:t>wenty-</w:t>
      </w:r>
      <w:r w:rsidR="00CC21AF">
        <w:rPr>
          <w:rFonts w:ascii="Times New Roman" w:hAnsi="Times New Roman" w:cs="Times New Roman"/>
          <w:sz w:val="24"/>
          <w:szCs w:val="24"/>
        </w:rPr>
        <w:t>four</w:t>
      </w:r>
      <w:r w:rsidR="006E2162">
        <w:rPr>
          <w:rFonts w:ascii="Times New Roman" w:hAnsi="Times New Roman" w:cs="Times New Roman"/>
          <w:sz w:val="24"/>
          <w:szCs w:val="24"/>
        </w:rPr>
        <w:t xml:space="preserve"> </w:t>
      </w:r>
      <w:r w:rsidR="003D4C30">
        <w:rPr>
          <w:rFonts w:ascii="Times New Roman" w:hAnsi="Times New Roman" w:cs="Times New Roman"/>
          <w:sz w:val="24"/>
          <w:szCs w:val="24"/>
        </w:rPr>
        <w:t>of the participants in the</w:t>
      </w:r>
      <w:r w:rsidR="00996166">
        <w:rPr>
          <w:rFonts w:ascii="Times New Roman" w:hAnsi="Times New Roman" w:cs="Times New Roman"/>
          <w:sz w:val="24"/>
          <w:szCs w:val="24"/>
        </w:rPr>
        <w:t>se groups</w:t>
      </w:r>
      <w:r w:rsidR="003D4C30">
        <w:rPr>
          <w:rFonts w:ascii="Times New Roman" w:hAnsi="Times New Roman" w:cs="Times New Roman"/>
          <w:sz w:val="24"/>
          <w:szCs w:val="24"/>
        </w:rPr>
        <w:t xml:space="preserve"> </w:t>
      </w:r>
      <w:r w:rsidR="006E2162">
        <w:rPr>
          <w:rFonts w:ascii="Times New Roman" w:hAnsi="Times New Roman" w:cs="Times New Roman"/>
          <w:sz w:val="24"/>
          <w:szCs w:val="24"/>
        </w:rPr>
        <w:t>were</w:t>
      </w:r>
      <w:r w:rsidR="005E64F6">
        <w:rPr>
          <w:rFonts w:ascii="Times New Roman" w:hAnsi="Times New Roman" w:cs="Times New Roman"/>
          <w:sz w:val="24"/>
          <w:szCs w:val="24"/>
        </w:rPr>
        <w:t xml:space="preserve"> </w:t>
      </w:r>
      <w:r w:rsidR="003D4C30">
        <w:rPr>
          <w:rFonts w:ascii="Times New Roman" w:hAnsi="Times New Roman" w:cs="Times New Roman"/>
          <w:sz w:val="24"/>
          <w:szCs w:val="24"/>
        </w:rPr>
        <w:t xml:space="preserve">also </w:t>
      </w:r>
      <w:r w:rsidR="005E64F6">
        <w:rPr>
          <w:rFonts w:ascii="Times New Roman" w:hAnsi="Times New Roman" w:cs="Times New Roman"/>
          <w:sz w:val="24"/>
          <w:szCs w:val="24"/>
        </w:rPr>
        <w:t>interview</w:t>
      </w:r>
      <w:r w:rsidR="006E2162">
        <w:rPr>
          <w:rFonts w:ascii="Times New Roman" w:hAnsi="Times New Roman" w:cs="Times New Roman"/>
          <w:sz w:val="24"/>
          <w:szCs w:val="24"/>
        </w:rPr>
        <w:t>ed</w:t>
      </w:r>
      <w:r w:rsidR="00181251">
        <w:rPr>
          <w:rFonts w:ascii="Times New Roman" w:hAnsi="Times New Roman" w:cs="Times New Roman"/>
          <w:sz w:val="24"/>
          <w:szCs w:val="24"/>
        </w:rPr>
        <w:t xml:space="preserve"> individual</w:t>
      </w:r>
      <w:r w:rsidR="00BF368C">
        <w:rPr>
          <w:rFonts w:ascii="Times New Roman" w:hAnsi="Times New Roman" w:cs="Times New Roman"/>
          <w:sz w:val="24"/>
          <w:szCs w:val="24"/>
        </w:rPr>
        <w:t>ly</w:t>
      </w:r>
      <w:r w:rsidR="006E2162">
        <w:rPr>
          <w:rFonts w:ascii="Times New Roman" w:hAnsi="Times New Roman" w:cs="Times New Roman"/>
          <w:sz w:val="24"/>
          <w:szCs w:val="24"/>
        </w:rPr>
        <w:t>.</w:t>
      </w:r>
      <w:r w:rsidR="005E64F6">
        <w:rPr>
          <w:rFonts w:ascii="Times New Roman" w:hAnsi="Times New Roman" w:cs="Times New Roman"/>
          <w:sz w:val="24"/>
          <w:szCs w:val="24"/>
        </w:rPr>
        <w:t xml:space="preserve"> </w:t>
      </w:r>
      <w:r w:rsidR="00F15BC6">
        <w:rPr>
          <w:rFonts w:ascii="Times New Roman" w:hAnsi="Times New Roman" w:cs="Times New Roman"/>
          <w:sz w:val="24"/>
          <w:szCs w:val="24"/>
        </w:rPr>
        <w:t xml:space="preserve"> </w:t>
      </w:r>
    </w:p>
    <w:p w14:paraId="1CD13B4D" w14:textId="25A257B2" w:rsidR="00F15BC6" w:rsidRDefault="00F53024"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Alongside our interrogation of the substantive outcomes in cases, w</w:t>
      </w:r>
      <w:r w:rsidR="002D5173">
        <w:rPr>
          <w:rFonts w:ascii="Times New Roman" w:hAnsi="Times New Roman" w:cs="Times New Roman"/>
          <w:sz w:val="24"/>
          <w:szCs w:val="24"/>
        </w:rPr>
        <w:t>e also inquired about the claimant</w:t>
      </w:r>
      <w:r w:rsidR="00AA0115">
        <w:rPr>
          <w:rFonts w:ascii="Times New Roman" w:hAnsi="Times New Roman" w:cs="Times New Roman"/>
          <w:sz w:val="24"/>
          <w:szCs w:val="24"/>
        </w:rPr>
        <w:t>s’</w:t>
      </w:r>
      <w:r w:rsidR="002D5173">
        <w:rPr>
          <w:rFonts w:ascii="Times New Roman" w:hAnsi="Times New Roman" w:cs="Times New Roman"/>
          <w:sz w:val="24"/>
          <w:szCs w:val="24"/>
        </w:rPr>
        <w:t xml:space="preserve"> perceptions of </w:t>
      </w:r>
      <w:r w:rsidR="00AA0115">
        <w:rPr>
          <w:rFonts w:ascii="Times New Roman" w:hAnsi="Times New Roman" w:cs="Times New Roman"/>
          <w:sz w:val="24"/>
          <w:szCs w:val="24"/>
        </w:rPr>
        <w:t>going through every step of the claims process</w:t>
      </w:r>
      <w:r w:rsidR="003D5D15">
        <w:rPr>
          <w:rFonts w:ascii="Times New Roman" w:hAnsi="Times New Roman" w:cs="Times New Roman"/>
          <w:sz w:val="24"/>
          <w:szCs w:val="24"/>
        </w:rPr>
        <w:t xml:space="preserve">, and </w:t>
      </w:r>
      <w:r w:rsidR="00F15BC6">
        <w:rPr>
          <w:rFonts w:ascii="Times New Roman" w:hAnsi="Times New Roman" w:cs="Times New Roman"/>
          <w:sz w:val="24"/>
          <w:szCs w:val="24"/>
        </w:rPr>
        <w:t xml:space="preserve">the </w:t>
      </w:r>
      <w:r w:rsidR="003D5D15">
        <w:rPr>
          <w:rFonts w:ascii="Times New Roman" w:hAnsi="Times New Roman" w:cs="Times New Roman"/>
          <w:sz w:val="24"/>
          <w:szCs w:val="24"/>
        </w:rPr>
        <w:t>time and effort involved</w:t>
      </w:r>
      <w:r w:rsidR="00F15BC6">
        <w:rPr>
          <w:rFonts w:ascii="Times New Roman" w:hAnsi="Times New Roman" w:cs="Times New Roman"/>
          <w:sz w:val="24"/>
          <w:szCs w:val="24"/>
        </w:rPr>
        <w:t xml:space="preserve"> (i.e. their perception of the procedural aspects of the process) to understand if they perceived these as frustrating their efforts to obtain a substantive outcome</w:t>
      </w:r>
      <w:r w:rsidR="003D5D15">
        <w:rPr>
          <w:rFonts w:ascii="Times New Roman" w:hAnsi="Times New Roman" w:cs="Times New Roman"/>
          <w:sz w:val="24"/>
          <w:szCs w:val="24"/>
        </w:rPr>
        <w:t xml:space="preserve">. </w:t>
      </w:r>
      <w:r w:rsidR="00EF583D">
        <w:rPr>
          <w:rFonts w:ascii="Times New Roman" w:hAnsi="Times New Roman" w:cs="Times New Roman"/>
          <w:sz w:val="24"/>
          <w:szCs w:val="24"/>
        </w:rPr>
        <w:t xml:space="preserve">In doing so, </w:t>
      </w:r>
      <w:r w:rsidR="00F15BC6">
        <w:rPr>
          <w:rFonts w:ascii="Times New Roman" w:hAnsi="Times New Roman" w:cs="Times New Roman"/>
          <w:sz w:val="24"/>
          <w:szCs w:val="24"/>
        </w:rPr>
        <w:t>w</w:t>
      </w:r>
      <w:r w:rsidR="00F92FCF">
        <w:rPr>
          <w:rFonts w:ascii="Times New Roman" w:hAnsi="Times New Roman" w:cs="Times New Roman"/>
          <w:sz w:val="24"/>
          <w:szCs w:val="24"/>
        </w:rPr>
        <w:t xml:space="preserve">e </w:t>
      </w:r>
      <w:r w:rsidR="00EF583D">
        <w:rPr>
          <w:rFonts w:ascii="Times New Roman" w:hAnsi="Times New Roman" w:cs="Times New Roman"/>
          <w:sz w:val="24"/>
          <w:szCs w:val="24"/>
        </w:rPr>
        <w:t>also sought</w:t>
      </w:r>
      <w:r w:rsidR="00571882">
        <w:rPr>
          <w:rFonts w:ascii="Times New Roman" w:hAnsi="Times New Roman" w:cs="Times New Roman"/>
          <w:sz w:val="24"/>
          <w:szCs w:val="24"/>
        </w:rPr>
        <w:t xml:space="preserve"> to uncover</w:t>
      </w:r>
      <w:r w:rsidR="001E7DB2">
        <w:rPr>
          <w:rFonts w:ascii="Times New Roman" w:hAnsi="Times New Roman" w:cs="Times New Roman"/>
          <w:sz w:val="24"/>
          <w:szCs w:val="24"/>
        </w:rPr>
        <w:t xml:space="preserve"> new information that we did not </w:t>
      </w:r>
      <w:proofErr w:type="gramStart"/>
      <w:r w:rsidR="001E7DB2">
        <w:rPr>
          <w:rFonts w:ascii="Times New Roman" w:hAnsi="Times New Roman" w:cs="Times New Roman"/>
          <w:sz w:val="24"/>
          <w:szCs w:val="24"/>
        </w:rPr>
        <w:t>know, but</w:t>
      </w:r>
      <w:proofErr w:type="gramEnd"/>
      <w:r w:rsidR="001E7DB2">
        <w:rPr>
          <w:rFonts w:ascii="Times New Roman" w:hAnsi="Times New Roman" w:cs="Times New Roman"/>
          <w:sz w:val="24"/>
          <w:szCs w:val="24"/>
        </w:rPr>
        <w:t xml:space="preserve"> was relevant to understanding</w:t>
      </w:r>
      <w:r>
        <w:rPr>
          <w:rFonts w:ascii="Times New Roman" w:hAnsi="Times New Roman" w:cs="Times New Roman"/>
          <w:sz w:val="24"/>
          <w:szCs w:val="24"/>
        </w:rPr>
        <w:t xml:space="preserve"> of</w:t>
      </w:r>
      <w:r w:rsidR="001E7DB2">
        <w:rPr>
          <w:rFonts w:ascii="Times New Roman" w:hAnsi="Times New Roman" w:cs="Times New Roman"/>
          <w:sz w:val="24"/>
          <w:szCs w:val="24"/>
        </w:rPr>
        <w:t xml:space="preserve"> </w:t>
      </w:r>
      <w:r w:rsidR="00EF583D">
        <w:rPr>
          <w:rFonts w:ascii="Times New Roman" w:hAnsi="Times New Roman" w:cs="Times New Roman"/>
          <w:sz w:val="24"/>
          <w:szCs w:val="24"/>
        </w:rPr>
        <w:t>whether an effective remedy had actually been achi</w:t>
      </w:r>
      <w:r>
        <w:rPr>
          <w:rFonts w:ascii="Times New Roman" w:hAnsi="Times New Roman" w:cs="Times New Roman"/>
          <w:sz w:val="24"/>
          <w:szCs w:val="24"/>
        </w:rPr>
        <w:t>e</w:t>
      </w:r>
      <w:r w:rsidR="00EF583D">
        <w:rPr>
          <w:rFonts w:ascii="Times New Roman" w:hAnsi="Times New Roman" w:cs="Times New Roman"/>
          <w:sz w:val="24"/>
          <w:szCs w:val="24"/>
        </w:rPr>
        <w:t>ved</w:t>
      </w:r>
      <w:r w:rsidR="001E7DB2">
        <w:rPr>
          <w:rFonts w:ascii="Times New Roman" w:hAnsi="Times New Roman" w:cs="Times New Roman"/>
          <w:sz w:val="24"/>
          <w:szCs w:val="24"/>
        </w:rPr>
        <w:t xml:space="preserve">. </w:t>
      </w:r>
      <w:r w:rsidR="00EF583D">
        <w:rPr>
          <w:rFonts w:ascii="Times New Roman" w:hAnsi="Times New Roman" w:cs="Times New Roman"/>
          <w:sz w:val="24"/>
          <w:szCs w:val="24"/>
        </w:rPr>
        <w:t>For instance, a</w:t>
      </w:r>
      <w:r w:rsidR="00F64781">
        <w:rPr>
          <w:rFonts w:ascii="Times New Roman" w:hAnsi="Times New Roman" w:cs="Times New Roman"/>
          <w:sz w:val="24"/>
          <w:szCs w:val="24"/>
        </w:rPr>
        <w:t>s explained below, the rightsholder interviews reveal</w:t>
      </w:r>
      <w:r w:rsidR="00252F06">
        <w:rPr>
          <w:rFonts w:ascii="Times New Roman" w:hAnsi="Times New Roman" w:cs="Times New Roman"/>
          <w:sz w:val="24"/>
          <w:szCs w:val="24"/>
        </w:rPr>
        <w:t>ed</w:t>
      </w:r>
      <w:r w:rsidR="00F64781">
        <w:rPr>
          <w:rFonts w:ascii="Times New Roman" w:hAnsi="Times New Roman" w:cs="Times New Roman"/>
          <w:sz w:val="24"/>
          <w:szCs w:val="24"/>
        </w:rPr>
        <w:t xml:space="preserve"> </w:t>
      </w:r>
      <w:r w:rsidR="008727E5">
        <w:rPr>
          <w:rFonts w:ascii="Times New Roman" w:hAnsi="Times New Roman" w:cs="Times New Roman"/>
          <w:sz w:val="24"/>
          <w:szCs w:val="24"/>
        </w:rPr>
        <w:t>that one</w:t>
      </w:r>
      <w:r w:rsidR="00F64781">
        <w:rPr>
          <w:rFonts w:ascii="Times New Roman" w:hAnsi="Times New Roman" w:cs="Times New Roman"/>
          <w:sz w:val="24"/>
          <w:szCs w:val="24"/>
        </w:rPr>
        <w:t xml:space="preserve"> respondent company </w:t>
      </w:r>
      <w:r w:rsidR="000C7EF1">
        <w:rPr>
          <w:rFonts w:ascii="Times New Roman" w:hAnsi="Times New Roman" w:cs="Times New Roman"/>
          <w:sz w:val="24"/>
          <w:szCs w:val="24"/>
        </w:rPr>
        <w:t>that lost an RSPO claim, provided an effective remedy</w:t>
      </w:r>
      <w:r w:rsidR="00514F39">
        <w:rPr>
          <w:rFonts w:ascii="Times New Roman" w:hAnsi="Times New Roman" w:cs="Times New Roman"/>
          <w:sz w:val="24"/>
          <w:szCs w:val="24"/>
        </w:rPr>
        <w:t>, and then retaliated against some of the claimant group</w:t>
      </w:r>
      <w:r w:rsidR="008727E5">
        <w:rPr>
          <w:rFonts w:ascii="Times New Roman" w:hAnsi="Times New Roman" w:cs="Times New Roman"/>
          <w:sz w:val="24"/>
          <w:szCs w:val="24"/>
        </w:rPr>
        <w:t xml:space="preserve">. This was new information that was not part of the RSPO claim or included in the </w:t>
      </w:r>
      <w:r w:rsidR="00F92FCF">
        <w:rPr>
          <w:rFonts w:ascii="Times New Roman" w:hAnsi="Times New Roman" w:cs="Times New Roman"/>
          <w:sz w:val="24"/>
          <w:szCs w:val="24"/>
        </w:rPr>
        <w:t xml:space="preserve">claims file. </w:t>
      </w:r>
    </w:p>
    <w:p w14:paraId="2228D08B" w14:textId="385098F1" w:rsidR="00FB216F" w:rsidRPr="00E07B7E" w:rsidRDefault="00FB216F"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lastRenderedPageBreak/>
        <w:t>There were 5</w:t>
      </w:r>
      <w:r>
        <w:rPr>
          <w:rFonts w:ascii="Times New Roman" w:hAnsi="Times New Roman" w:cs="Times New Roman"/>
          <w:sz w:val="24"/>
          <w:szCs w:val="24"/>
        </w:rPr>
        <w:t>8</w:t>
      </w:r>
      <w:r w:rsidRPr="00E07B7E">
        <w:rPr>
          <w:rFonts w:ascii="Times New Roman" w:hAnsi="Times New Roman" w:cs="Times New Roman"/>
          <w:sz w:val="24"/>
          <w:szCs w:val="24"/>
        </w:rPr>
        <w:t xml:space="preserve"> RSPO resolved claims when we </w:t>
      </w:r>
      <w:r>
        <w:rPr>
          <w:rFonts w:ascii="Times New Roman" w:hAnsi="Times New Roman" w:cs="Times New Roman"/>
          <w:sz w:val="24"/>
          <w:szCs w:val="24"/>
        </w:rPr>
        <w:t>finished</w:t>
      </w:r>
      <w:r w:rsidRPr="00E07B7E">
        <w:rPr>
          <w:rFonts w:ascii="Times New Roman" w:hAnsi="Times New Roman" w:cs="Times New Roman"/>
          <w:sz w:val="24"/>
          <w:szCs w:val="24"/>
        </w:rPr>
        <w:t xml:space="preserve"> our review in </w:t>
      </w:r>
      <w:r>
        <w:rPr>
          <w:rFonts w:ascii="Times New Roman" w:hAnsi="Times New Roman" w:cs="Times New Roman"/>
          <w:sz w:val="24"/>
          <w:szCs w:val="24"/>
        </w:rPr>
        <w:t>February 2020</w:t>
      </w:r>
      <w:r w:rsidRPr="00E07B7E">
        <w:rPr>
          <w:rFonts w:ascii="Times New Roman" w:hAnsi="Times New Roman" w:cs="Times New Roman"/>
          <w:sz w:val="24"/>
          <w:szCs w:val="24"/>
        </w:rPr>
        <w:t>.</w:t>
      </w:r>
      <w:r w:rsidR="00092AE1">
        <w:rPr>
          <w:rStyle w:val="FootnoteReference"/>
          <w:rFonts w:ascii="Times New Roman" w:hAnsi="Times New Roman" w:cs="Times New Roman"/>
          <w:sz w:val="24"/>
          <w:szCs w:val="24"/>
        </w:rPr>
        <w:footnoteReference w:id="73"/>
      </w:r>
      <w:r w:rsidRPr="00E07B7E">
        <w:rPr>
          <w:rFonts w:ascii="Times New Roman" w:hAnsi="Times New Roman" w:cs="Times New Roman"/>
          <w:sz w:val="24"/>
          <w:szCs w:val="24"/>
        </w:rPr>
        <w:t xml:space="preserve"> Of those, three were merged into other claims or otherwise were not considered meaningful as separate claims. This left 5</w:t>
      </w:r>
      <w:r>
        <w:rPr>
          <w:rFonts w:ascii="Times New Roman" w:hAnsi="Times New Roman" w:cs="Times New Roman"/>
          <w:sz w:val="24"/>
          <w:szCs w:val="24"/>
        </w:rPr>
        <w:t>5</w:t>
      </w:r>
      <w:r w:rsidRPr="00E07B7E">
        <w:rPr>
          <w:rFonts w:ascii="Times New Roman" w:hAnsi="Times New Roman" w:cs="Times New Roman"/>
          <w:sz w:val="24"/>
          <w:szCs w:val="24"/>
        </w:rPr>
        <w:t xml:space="preserve"> claims in which there had been a ruling or settlement. Of those, 3</w:t>
      </w:r>
      <w:r>
        <w:rPr>
          <w:rFonts w:ascii="Times New Roman" w:hAnsi="Times New Roman" w:cs="Times New Roman"/>
          <w:sz w:val="24"/>
          <w:szCs w:val="24"/>
        </w:rPr>
        <w:t>9</w:t>
      </w:r>
      <w:r w:rsidRPr="00E07B7E">
        <w:rPr>
          <w:rFonts w:ascii="Times New Roman" w:hAnsi="Times New Roman" w:cs="Times New Roman"/>
          <w:sz w:val="24"/>
          <w:szCs w:val="24"/>
        </w:rPr>
        <w:t xml:space="preserve"> were determined to be human rights claims at least in part. These claims fell into four general categories: land, labor, </w:t>
      </w:r>
      <w:proofErr w:type="gramStart"/>
      <w:r w:rsidRPr="00E07B7E">
        <w:rPr>
          <w:rFonts w:ascii="Times New Roman" w:hAnsi="Times New Roman" w:cs="Times New Roman"/>
          <w:sz w:val="24"/>
          <w:szCs w:val="24"/>
        </w:rPr>
        <w:t>pollution</w:t>
      </w:r>
      <w:proofErr w:type="gramEnd"/>
      <w:r w:rsidRPr="00E07B7E">
        <w:rPr>
          <w:rFonts w:ascii="Times New Roman" w:hAnsi="Times New Roman" w:cs="Times New Roman"/>
          <w:sz w:val="24"/>
          <w:szCs w:val="24"/>
        </w:rPr>
        <w:t xml:space="preserve"> and violence.</w:t>
      </w:r>
      <w:r>
        <w:rPr>
          <w:rFonts w:ascii="Times New Roman" w:hAnsi="Times New Roman" w:cs="Times New Roman"/>
          <w:sz w:val="24"/>
          <w:szCs w:val="24"/>
        </w:rPr>
        <w:t xml:space="preserve"> Thirty</w:t>
      </w:r>
      <w:r w:rsidRPr="00E07B7E">
        <w:rPr>
          <w:rFonts w:ascii="Times New Roman" w:hAnsi="Times New Roman" w:cs="Times New Roman"/>
          <w:sz w:val="24"/>
          <w:szCs w:val="24"/>
        </w:rPr>
        <w:t xml:space="preserve"> of the claims included significant land issues. Often the issue was whether the land cleared, </w:t>
      </w:r>
      <w:proofErr w:type="gramStart"/>
      <w:r w:rsidRPr="00E07B7E">
        <w:rPr>
          <w:rFonts w:ascii="Times New Roman" w:hAnsi="Times New Roman" w:cs="Times New Roman"/>
          <w:sz w:val="24"/>
          <w:szCs w:val="24"/>
        </w:rPr>
        <w:t>planted</w:t>
      </w:r>
      <w:proofErr w:type="gramEnd"/>
      <w:r w:rsidRPr="00E07B7E">
        <w:rPr>
          <w:rFonts w:ascii="Times New Roman" w:hAnsi="Times New Roman" w:cs="Times New Roman"/>
          <w:sz w:val="24"/>
          <w:szCs w:val="24"/>
        </w:rPr>
        <w:t xml:space="preserve"> and incorporated into the plantation was actually owned or legally controlled by the company. Land title may have been in question or </w:t>
      </w:r>
      <w:r w:rsidRPr="006A2C12">
        <w:rPr>
          <w:rFonts w:ascii="Times New Roman" w:hAnsi="Times New Roman" w:cs="Times New Roman"/>
          <w:sz w:val="24"/>
          <w:szCs w:val="24"/>
        </w:rPr>
        <w:t xml:space="preserve">the legal right of the company </w:t>
      </w:r>
      <w:r>
        <w:rPr>
          <w:rFonts w:ascii="Times New Roman" w:hAnsi="Times New Roman" w:cs="Times New Roman"/>
          <w:sz w:val="24"/>
          <w:szCs w:val="24"/>
        </w:rPr>
        <w:t xml:space="preserve">to </w:t>
      </w:r>
      <w:r w:rsidRPr="00E07B7E">
        <w:rPr>
          <w:rFonts w:ascii="Times New Roman" w:hAnsi="Times New Roman" w:cs="Times New Roman"/>
          <w:sz w:val="24"/>
          <w:szCs w:val="24"/>
        </w:rPr>
        <w:t xml:space="preserve">public “forest” land </w:t>
      </w:r>
      <w:r>
        <w:rPr>
          <w:rFonts w:ascii="Times New Roman" w:hAnsi="Times New Roman" w:cs="Times New Roman"/>
          <w:sz w:val="24"/>
          <w:szCs w:val="24"/>
        </w:rPr>
        <w:t>was</w:t>
      </w:r>
      <w:r w:rsidRPr="00E07B7E">
        <w:rPr>
          <w:rFonts w:ascii="Times New Roman" w:hAnsi="Times New Roman" w:cs="Times New Roman"/>
          <w:sz w:val="24"/>
          <w:szCs w:val="24"/>
        </w:rPr>
        <w:t xml:space="preserve"> </w:t>
      </w:r>
      <w:r>
        <w:rPr>
          <w:rFonts w:ascii="Times New Roman" w:hAnsi="Times New Roman" w:cs="Times New Roman"/>
          <w:sz w:val="24"/>
          <w:szCs w:val="24"/>
        </w:rPr>
        <w:t>disputed</w:t>
      </w:r>
      <w:r w:rsidRPr="00E07B7E">
        <w:rPr>
          <w:rFonts w:ascii="Times New Roman" w:hAnsi="Times New Roman" w:cs="Times New Roman"/>
          <w:sz w:val="24"/>
          <w:szCs w:val="24"/>
        </w:rPr>
        <w:t xml:space="preserve">. Another common </w:t>
      </w:r>
      <w:r>
        <w:rPr>
          <w:rFonts w:ascii="Times New Roman" w:hAnsi="Times New Roman" w:cs="Times New Roman"/>
          <w:sz w:val="24"/>
          <w:szCs w:val="24"/>
        </w:rPr>
        <w:t>claim</w:t>
      </w:r>
      <w:r w:rsidRPr="00E07B7E">
        <w:rPr>
          <w:rFonts w:ascii="Times New Roman" w:hAnsi="Times New Roman" w:cs="Times New Roman"/>
          <w:sz w:val="24"/>
          <w:szCs w:val="24"/>
        </w:rPr>
        <w:t xml:space="preserve"> was under the RPSO requirement that a plantation could only be established with the free prior and informed consent </w:t>
      </w:r>
      <w:r>
        <w:rPr>
          <w:rFonts w:ascii="Times New Roman" w:hAnsi="Times New Roman" w:cs="Times New Roman"/>
          <w:sz w:val="24"/>
          <w:szCs w:val="24"/>
        </w:rPr>
        <w:t xml:space="preserve">(“FPIC”) </w:t>
      </w:r>
      <w:r w:rsidRPr="00E07B7E">
        <w:rPr>
          <w:rFonts w:ascii="Times New Roman" w:hAnsi="Times New Roman" w:cs="Times New Roman"/>
          <w:sz w:val="24"/>
          <w:szCs w:val="24"/>
        </w:rPr>
        <w:t>of the local community with customary or user rights to the land (Community FPIC)</w:t>
      </w:r>
      <w:r>
        <w:rPr>
          <w:rFonts w:ascii="Times New Roman" w:hAnsi="Times New Roman" w:cs="Times New Roman"/>
          <w:sz w:val="24"/>
          <w:szCs w:val="24"/>
        </w:rPr>
        <w:t>.</w:t>
      </w:r>
      <w:r w:rsidRPr="00E07B7E">
        <w:rPr>
          <w:rStyle w:val="FootnoteReference"/>
          <w:rFonts w:ascii="Times New Roman" w:hAnsi="Times New Roman" w:cs="Times New Roman"/>
          <w:sz w:val="24"/>
          <w:szCs w:val="24"/>
        </w:rPr>
        <w:footnoteReference w:id="74"/>
      </w:r>
      <w:r w:rsidRPr="00E07B7E">
        <w:rPr>
          <w:rFonts w:ascii="Times New Roman" w:hAnsi="Times New Roman" w:cs="Times New Roman"/>
          <w:sz w:val="24"/>
          <w:szCs w:val="24"/>
        </w:rPr>
        <w:t xml:space="preserve"> This RSPO standard includes the principle of free prior and informed consent of indigenous peoples as recognized by the UN Declaration of the Rights of Indigenous Peoples and ILO Convention 169. Indeed, some RSPO claims are by indigenous groups. But the RSPO FPIC standard also encompasses local communities, </w:t>
      </w:r>
      <w:proofErr w:type="gramStart"/>
      <w:r w:rsidRPr="00E07B7E">
        <w:rPr>
          <w:rFonts w:ascii="Times New Roman" w:hAnsi="Times New Roman" w:cs="Times New Roman"/>
          <w:sz w:val="24"/>
          <w:szCs w:val="24"/>
        </w:rPr>
        <w:t>whether or not</w:t>
      </w:r>
      <w:proofErr w:type="gramEnd"/>
      <w:r w:rsidRPr="00E07B7E">
        <w:rPr>
          <w:rFonts w:ascii="Times New Roman" w:hAnsi="Times New Roman" w:cs="Times New Roman"/>
          <w:sz w:val="24"/>
          <w:szCs w:val="24"/>
        </w:rPr>
        <w:t xml:space="preserve"> they are indigenous. This greatly expands the applicability of FPIC. The pollution claims were usually made in addition to other claims and generally concerned mill waste contaminating surface water. </w:t>
      </w:r>
      <w:r>
        <w:rPr>
          <w:rFonts w:ascii="Times New Roman" w:hAnsi="Times New Roman" w:cs="Times New Roman"/>
          <w:sz w:val="24"/>
          <w:szCs w:val="24"/>
        </w:rPr>
        <w:t xml:space="preserve">The labor claims generally concerned conditions of work, </w:t>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and worker safety. </w:t>
      </w:r>
      <w:r w:rsidRPr="00E07B7E">
        <w:rPr>
          <w:rFonts w:ascii="Times New Roman" w:hAnsi="Times New Roman" w:cs="Times New Roman"/>
          <w:sz w:val="24"/>
          <w:szCs w:val="24"/>
        </w:rPr>
        <w:t xml:space="preserve">The rare violence claims alleged excessive force used by plantation private security personnel or by public security at the behest of the company.  </w:t>
      </w:r>
    </w:p>
    <w:p w14:paraId="600B076D" w14:textId="77777777" w:rsidR="00FB216F" w:rsidRPr="006A3B66" w:rsidRDefault="00FB216F" w:rsidP="001659DC">
      <w:pPr>
        <w:spacing w:line="360" w:lineRule="auto"/>
        <w:ind w:firstLine="360"/>
        <w:rPr>
          <w:rFonts w:ascii="Times New Roman" w:hAnsi="Times New Roman"/>
          <w:smallCaps/>
          <w:sz w:val="24"/>
        </w:rPr>
      </w:pPr>
    </w:p>
    <w:p w14:paraId="16B2B0E7" w14:textId="35968D4F" w:rsidR="00913556" w:rsidRPr="001659DC" w:rsidRDefault="00013D43" w:rsidP="001659DC">
      <w:pPr>
        <w:pStyle w:val="ListParagraph"/>
        <w:numPr>
          <w:ilvl w:val="0"/>
          <w:numId w:val="1"/>
        </w:numPr>
        <w:spacing w:line="360" w:lineRule="auto"/>
        <w:jc w:val="center"/>
        <w:rPr>
          <w:rFonts w:ascii="Times New Roman" w:hAnsi="Times New Roman" w:cs="Times New Roman"/>
          <w:smallCaps/>
          <w:sz w:val="28"/>
          <w:szCs w:val="28"/>
        </w:rPr>
      </w:pPr>
      <w:r w:rsidRPr="001659DC">
        <w:rPr>
          <w:rFonts w:ascii="Times New Roman" w:hAnsi="Times New Roman" w:cs="Times New Roman"/>
          <w:smallCaps/>
          <w:sz w:val="28"/>
          <w:szCs w:val="28"/>
        </w:rPr>
        <w:t>Outcomes of Cases</w:t>
      </w:r>
    </w:p>
    <w:p w14:paraId="3D79F703" w14:textId="0EDB91B3" w:rsidR="00BD6540" w:rsidRPr="00E07B7E" w:rsidRDefault="003D4C30"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section, we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substantive </w:t>
      </w:r>
      <w:r w:rsidR="008B7101">
        <w:rPr>
          <w:rFonts w:ascii="Times New Roman" w:hAnsi="Times New Roman" w:cs="Times New Roman"/>
          <w:sz w:val="24"/>
          <w:szCs w:val="24"/>
        </w:rPr>
        <w:t>outcomes of</w:t>
      </w:r>
      <w:r>
        <w:rPr>
          <w:rFonts w:ascii="Times New Roman" w:hAnsi="Times New Roman" w:cs="Times New Roman"/>
          <w:sz w:val="24"/>
          <w:szCs w:val="24"/>
        </w:rPr>
        <w:t xml:space="preserve"> cases.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the categorization of claims we </w:t>
      </w:r>
      <w:r w:rsidR="008B7101">
        <w:rPr>
          <w:rFonts w:ascii="Times New Roman" w:hAnsi="Times New Roman" w:cs="Times New Roman"/>
          <w:sz w:val="24"/>
          <w:szCs w:val="24"/>
        </w:rPr>
        <w:t xml:space="preserve">developed in the previous </w:t>
      </w:r>
      <w:proofErr w:type="gramStart"/>
      <w:r w:rsidR="008B7101">
        <w:rPr>
          <w:rFonts w:ascii="Times New Roman" w:hAnsi="Times New Roman" w:cs="Times New Roman"/>
          <w:sz w:val="24"/>
          <w:szCs w:val="24"/>
        </w:rPr>
        <w:t>section,</w:t>
      </w:r>
      <w:proofErr w:type="gramEnd"/>
      <w:r w:rsidR="008B7101">
        <w:rPr>
          <w:rFonts w:ascii="Times New Roman" w:hAnsi="Times New Roman" w:cs="Times New Roman"/>
          <w:sz w:val="24"/>
          <w:szCs w:val="24"/>
        </w:rPr>
        <w:t xml:space="preserve"> we found the following results;</w:t>
      </w:r>
      <w:r>
        <w:rPr>
          <w:rFonts w:ascii="Times New Roman" w:hAnsi="Times New Roman" w:cs="Times New Roman"/>
          <w:sz w:val="24"/>
          <w:szCs w:val="24"/>
        </w:rPr>
        <w:t xml:space="preserve"> </w:t>
      </w:r>
      <w:r w:rsidR="00BD6540" w:rsidRPr="00E07B7E">
        <w:rPr>
          <w:rFonts w:ascii="Times New Roman" w:hAnsi="Times New Roman" w:cs="Times New Roman"/>
          <w:sz w:val="24"/>
          <w:szCs w:val="24"/>
        </w:rPr>
        <w:t>Group 1 (claims in which there was a ruling in favor of the claimant) contained 1</w:t>
      </w:r>
      <w:r w:rsidR="004A661F" w:rsidRPr="00E07B7E">
        <w:rPr>
          <w:rFonts w:ascii="Times New Roman" w:hAnsi="Times New Roman" w:cs="Times New Roman"/>
          <w:sz w:val="24"/>
          <w:szCs w:val="24"/>
        </w:rPr>
        <w:t>0</w:t>
      </w:r>
      <w:r w:rsidR="00BD6540" w:rsidRPr="00E07B7E">
        <w:rPr>
          <w:rFonts w:ascii="Times New Roman" w:hAnsi="Times New Roman" w:cs="Times New Roman"/>
          <w:sz w:val="24"/>
          <w:szCs w:val="24"/>
        </w:rPr>
        <w:t xml:space="preserve"> claims. Group 2 (claims in which </w:t>
      </w:r>
      <w:r w:rsidR="004859E1" w:rsidRPr="00E07B7E">
        <w:rPr>
          <w:rFonts w:ascii="Times New Roman" w:hAnsi="Times New Roman" w:cs="Times New Roman"/>
          <w:sz w:val="24"/>
          <w:szCs w:val="24"/>
        </w:rPr>
        <w:t xml:space="preserve">there </w:t>
      </w:r>
      <w:r w:rsidR="00BD6540" w:rsidRPr="00E07B7E">
        <w:rPr>
          <w:rFonts w:ascii="Times New Roman" w:hAnsi="Times New Roman" w:cs="Times New Roman"/>
          <w:sz w:val="24"/>
          <w:szCs w:val="24"/>
        </w:rPr>
        <w:t>was not ruling in favor of the claimant) contained 1</w:t>
      </w:r>
      <w:r w:rsidR="00A87731">
        <w:rPr>
          <w:rFonts w:ascii="Times New Roman" w:hAnsi="Times New Roman" w:cs="Times New Roman"/>
          <w:sz w:val="24"/>
          <w:szCs w:val="24"/>
        </w:rPr>
        <w:t>8</w:t>
      </w:r>
      <w:r w:rsidR="00BD6540" w:rsidRPr="00E07B7E">
        <w:rPr>
          <w:rFonts w:ascii="Times New Roman" w:hAnsi="Times New Roman" w:cs="Times New Roman"/>
          <w:sz w:val="24"/>
          <w:szCs w:val="24"/>
        </w:rPr>
        <w:t xml:space="preserve"> claims. Group 3 (claims in which the parties agree</w:t>
      </w:r>
      <w:r w:rsidR="004F3971" w:rsidRPr="00E07B7E">
        <w:rPr>
          <w:rFonts w:ascii="Times New Roman" w:hAnsi="Times New Roman" w:cs="Times New Roman"/>
          <w:sz w:val="24"/>
          <w:szCs w:val="24"/>
        </w:rPr>
        <w:t>d</w:t>
      </w:r>
      <w:r w:rsidR="003A2142" w:rsidRPr="00E07B7E">
        <w:rPr>
          <w:rFonts w:ascii="Times New Roman" w:hAnsi="Times New Roman" w:cs="Times New Roman"/>
          <w:sz w:val="24"/>
          <w:szCs w:val="24"/>
        </w:rPr>
        <w:t xml:space="preserve"> to settle) contained </w:t>
      </w:r>
      <w:r w:rsidR="00A87731">
        <w:rPr>
          <w:rFonts w:ascii="Times New Roman" w:hAnsi="Times New Roman" w:cs="Times New Roman"/>
          <w:sz w:val="24"/>
          <w:szCs w:val="24"/>
        </w:rPr>
        <w:t>11</w:t>
      </w:r>
      <w:r w:rsidR="003A2142" w:rsidRPr="00E07B7E">
        <w:rPr>
          <w:rFonts w:ascii="Times New Roman" w:hAnsi="Times New Roman" w:cs="Times New Roman"/>
          <w:sz w:val="24"/>
          <w:szCs w:val="24"/>
        </w:rPr>
        <w:t xml:space="preserve"> claims. </w:t>
      </w:r>
      <w:r w:rsidR="000B01C1" w:rsidRPr="00E07B7E">
        <w:rPr>
          <w:rFonts w:ascii="Times New Roman" w:hAnsi="Times New Roman" w:cs="Times New Roman"/>
          <w:sz w:val="24"/>
          <w:szCs w:val="24"/>
        </w:rPr>
        <w:t xml:space="preserve">It is the Group 1 claims, and the extent to which they provided an effective remedy to the claimants that we </w:t>
      </w:r>
      <w:proofErr w:type="spellStart"/>
      <w:r w:rsidR="000B01C1" w:rsidRPr="00E07B7E">
        <w:rPr>
          <w:rFonts w:ascii="Times New Roman" w:hAnsi="Times New Roman" w:cs="Times New Roman"/>
          <w:sz w:val="24"/>
          <w:szCs w:val="24"/>
        </w:rPr>
        <w:t>analyse</w:t>
      </w:r>
      <w:proofErr w:type="spellEnd"/>
      <w:r w:rsidR="000B01C1" w:rsidRPr="00E07B7E">
        <w:rPr>
          <w:rFonts w:ascii="Times New Roman" w:hAnsi="Times New Roman" w:cs="Times New Roman"/>
          <w:sz w:val="24"/>
          <w:szCs w:val="24"/>
        </w:rPr>
        <w:t xml:space="preserve"> below. </w:t>
      </w:r>
      <w:r w:rsidR="003A2142" w:rsidRPr="00E07B7E">
        <w:rPr>
          <w:rFonts w:ascii="Times New Roman" w:hAnsi="Times New Roman" w:cs="Times New Roman"/>
          <w:sz w:val="24"/>
          <w:szCs w:val="24"/>
        </w:rPr>
        <w:t xml:space="preserve">One immediate observation about the numbers </w:t>
      </w:r>
      <w:r w:rsidR="000B01C1" w:rsidRPr="00E07B7E">
        <w:rPr>
          <w:rFonts w:ascii="Times New Roman" w:hAnsi="Times New Roman" w:cs="Times New Roman"/>
          <w:sz w:val="24"/>
          <w:szCs w:val="24"/>
        </w:rPr>
        <w:t xml:space="preserve">of Group 1 claims </w:t>
      </w:r>
      <w:r w:rsidR="003A2142" w:rsidRPr="00E07B7E">
        <w:rPr>
          <w:rFonts w:ascii="Times New Roman" w:hAnsi="Times New Roman" w:cs="Times New Roman"/>
          <w:sz w:val="24"/>
          <w:szCs w:val="24"/>
        </w:rPr>
        <w:t>is</w:t>
      </w:r>
      <w:r w:rsidR="00BD6540" w:rsidRPr="00E07B7E">
        <w:rPr>
          <w:rFonts w:ascii="Times New Roman" w:hAnsi="Times New Roman" w:cs="Times New Roman"/>
          <w:sz w:val="24"/>
          <w:szCs w:val="24"/>
        </w:rPr>
        <w:t xml:space="preserve"> how frequently the RSPO member company was found to be in the wrong. In 1</w:t>
      </w:r>
      <w:r w:rsidR="004A661F" w:rsidRPr="00E07B7E">
        <w:rPr>
          <w:rFonts w:ascii="Times New Roman" w:hAnsi="Times New Roman" w:cs="Times New Roman"/>
          <w:sz w:val="24"/>
          <w:szCs w:val="24"/>
        </w:rPr>
        <w:t>0</w:t>
      </w:r>
      <w:r w:rsidR="00BD6540" w:rsidRPr="00E07B7E">
        <w:rPr>
          <w:rFonts w:ascii="Times New Roman" w:hAnsi="Times New Roman" w:cs="Times New Roman"/>
          <w:sz w:val="24"/>
          <w:szCs w:val="24"/>
        </w:rPr>
        <w:t xml:space="preserve"> of the 2</w:t>
      </w:r>
      <w:r w:rsidR="00A87731">
        <w:rPr>
          <w:rFonts w:ascii="Times New Roman" w:hAnsi="Times New Roman" w:cs="Times New Roman"/>
          <w:sz w:val="24"/>
          <w:szCs w:val="24"/>
        </w:rPr>
        <w:t>8</w:t>
      </w:r>
      <w:r w:rsidR="00BD6540" w:rsidRPr="00E07B7E">
        <w:rPr>
          <w:rFonts w:ascii="Times New Roman" w:hAnsi="Times New Roman" w:cs="Times New Roman"/>
          <w:sz w:val="24"/>
          <w:szCs w:val="24"/>
        </w:rPr>
        <w:t xml:space="preserve"> cases that were not resolved by settlement, there was a clear ruling by the RSPO complaints panel </w:t>
      </w:r>
      <w:r w:rsidR="00BD6540" w:rsidRPr="00E07B7E">
        <w:rPr>
          <w:rFonts w:ascii="Times New Roman" w:hAnsi="Times New Roman" w:cs="Times New Roman"/>
          <w:i/>
          <w:sz w:val="24"/>
          <w:szCs w:val="24"/>
        </w:rPr>
        <w:t>against</w:t>
      </w:r>
      <w:r w:rsidR="00BD6540" w:rsidRPr="00E07B7E">
        <w:rPr>
          <w:rFonts w:ascii="Times New Roman" w:hAnsi="Times New Roman" w:cs="Times New Roman"/>
          <w:sz w:val="24"/>
          <w:szCs w:val="24"/>
        </w:rPr>
        <w:t xml:space="preserve"> the company</w:t>
      </w:r>
      <w:r w:rsidR="00BD6540" w:rsidRPr="001659DC">
        <w:rPr>
          <w:rFonts w:ascii="Times New Roman" w:hAnsi="Times New Roman"/>
          <w:sz w:val="24"/>
        </w:rPr>
        <w:t>. Those decision</w:t>
      </w:r>
      <w:r w:rsidR="009A421C" w:rsidRPr="001659DC">
        <w:rPr>
          <w:rFonts w:ascii="Times New Roman" w:hAnsi="Times New Roman"/>
          <w:sz w:val="24"/>
        </w:rPr>
        <w:t>s</w:t>
      </w:r>
      <w:r w:rsidR="00BD6540" w:rsidRPr="001659DC">
        <w:rPr>
          <w:rFonts w:ascii="Times New Roman" w:hAnsi="Times New Roman"/>
          <w:sz w:val="24"/>
        </w:rPr>
        <w:t xml:space="preserve"> were made publicly and can be used by the NGO claimants in all their diverse efforts (media coverage, protests, court cases, etc.) to obtain their ends</w:t>
      </w:r>
      <w:r w:rsidR="001F09AB" w:rsidRPr="001659DC">
        <w:rPr>
          <w:rFonts w:ascii="Times New Roman" w:hAnsi="Times New Roman"/>
          <w:sz w:val="24"/>
        </w:rPr>
        <w:t>.</w:t>
      </w:r>
      <w:r w:rsidR="00284840" w:rsidRPr="001659DC">
        <w:rPr>
          <w:rStyle w:val="FootnoteReference"/>
          <w:rFonts w:ascii="Times New Roman" w:hAnsi="Times New Roman"/>
          <w:sz w:val="24"/>
        </w:rPr>
        <w:footnoteReference w:id="75"/>
      </w:r>
      <w:r w:rsidR="008D5530">
        <w:rPr>
          <w:rFonts w:ascii="Times New Roman" w:hAnsi="Times New Roman"/>
          <w:sz w:val="24"/>
        </w:rPr>
        <w:t xml:space="preserve"> However, this benefit to the NGO claimants does not mean that the rightsholder themselves achieved an effective remedy.   </w:t>
      </w:r>
    </w:p>
    <w:p w14:paraId="3E2AAFBD" w14:textId="4DA253D7" w:rsidR="00913556"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Of the </w:t>
      </w:r>
      <w:r w:rsidR="004A661F" w:rsidRPr="00E07B7E">
        <w:rPr>
          <w:rFonts w:ascii="Times New Roman" w:hAnsi="Times New Roman" w:cs="Times New Roman"/>
          <w:sz w:val="24"/>
          <w:szCs w:val="24"/>
        </w:rPr>
        <w:t>ten</w:t>
      </w:r>
      <w:r w:rsidRPr="00E07B7E">
        <w:rPr>
          <w:rFonts w:ascii="Times New Roman" w:hAnsi="Times New Roman" w:cs="Times New Roman"/>
          <w:sz w:val="24"/>
          <w:szCs w:val="24"/>
        </w:rPr>
        <w:t xml:space="preserve"> </w:t>
      </w:r>
      <w:r w:rsidR="00294299" w:rsidRPr="00E07B7E">
        <w:rPr>
          <w:rFonts w:ascii="Times New Roman" w:hAnsi="Times New Roman" w:cs="Times New Roman"/>
          <w:sz w:val="24"/>
          <w:szCs w:val="24"/>
        </w:rPr>
        <w:t xml:space="preserve">Group 1 </w:t>
      </w:r>
      <w:r w:rsidRPr="00E07B7E">
        <w:rPr>
          <w:rFonts w:ascii="Times New Roman" w:hAnsi="Times New Roman" w:cs="Times New Roman"/>
          <w:sz w:val="24"/>
          <w:szCs w:val="24"/>
        </w:rPr>
        <w:t xml:space="preserve">claims, in six cases the respondent company left RSPO </w:t>
      </w:r>
      <w:r w:rsidR="00826046" w:rsidRPr="00E07B7E">
        <w:rPr>
          <w:rFonts w:ascii="Times New Roman" w:hAnsi="Times New Roman" w:cs="Times New Roman"/>
          <w:sz w:val="24"/>
          <w:szCs w:val="24"/>
        </w:rPr>
        <w:t>(</w:t>
      </w:r>
      <w:r w:rsidRPr="00E07B7E">
        <w:rPr>
          <w:rFonts w:ascii="Times New Roman" w:hAnsi="Times New Roman" w:cs="Times New Roman"/>
          <w:sz w:val="24"/>
          <w:szCs w:val="24"/>
        </w:rPr>
        <w:t xml:space="preserve">Group </w:t>
      </w:r>
      <w:r w:rsidR="003028F4" w:rsidRPr="00E07B7E">
        <w:rPr>
          <w:rFonts w:ascii="Times New Roman" w:hAnsi="Times New Roman" w:cs="Times New Roman"/>
          <w:sz w:val="24"/>
          <w:szCs w:val="24"/>
        </w:rPr>
        <w:t>1</w:t>
      </w:r>
      <w:r w:rsidRPr="00E07B7E">
        <w:rPr>
          <w:rFonts w:ascii="Times New Roman" w:hAnsi="Times New Roman" w:cs="Times New Roman"/>
          <w:sz w:val="24"/>
          <w:szCs w:val="24"/>
        </w:rPr>
        <w:t>C</w:t>
      </w:r>
      <w:r w:rsidR="00826046" w:rsidRPr="00E07B7E">
        <w:rPr>
          <w:rFonts w:ascii="Times New Roman" w:hAnsi="Times New Roman" w:cs="Times New Roman"/>
          <w:sz w:val="24"/>
          <w:szCs w:val="24"/>
        </w:rPr>
        <w:t xml:space="preserve"> in the table below)</w:t>
      </w:r>
      <w:r w:rsidRPr="00E07B7E">
        <w:rPr>
          <w:rFonts w:ascii="Times New Roman" w:hAnsi="Times New Roman" w:cs="Times New Roman"/>
          <w:sz w:val="24"/>
          <w:szCs w:val="24"/>
        </w:rPr>
        <w:t>. In none of those cases did the claimant obtain a remedy for human rights violations. Of the remaining f</w:t>
      </w:r>
      <w:r w:rsidR="004A661F" w:rsidRPr="00E07B7E">
        <w:rPr>
          <w:rFonts w:ascii="Times New Roman" w:hAnsi="Times New Roman" w:cs="Times New Roman"/>
          <w:sz w:val="24"/>
          <w:szCs w:val="24"/>
        </w:rPr>
        <w:t>our</w:t>
      </w:r>
      <w:r w:rsidRPr="00E07B7E">
        <w:rPr>
          <w:rFonts w:ascii="Times New Roman" w:hAnsi="Times New Roman" w:cs="Times New Roman"/>
          <w:sz w:val="24"/>
          <w:szCs w:val="24"/>
        </w:rPr>
        <w:t xml:space="preserve"> claims in Group I, in </w:t>
      </w:r>
      <w:r w:rsidR="004A661F" w:rsidRPr="00E07B7E">
        <w:rPr>
          <w:rFonts w:ascii="Times New Roman" w:hAnsi="Times New Roman" w:cs="Times New Roman"/>
          <w:sz w:val="24"/>
          <w:szCs w:val="24"/>
        </w:rPr>
        <w:t>three</w:t>
      </w:r>
      <w:r w:rsidRPr="00E07B7E">
        <w:rPr>
          <w:rFonts w:ascii="Times New Roman" w:hAnsi="Times New Roman" w:cs="Times New Roman"/>
          <w:sz w:val="24"/>
          <w:szCs w:val="24"/>
        </w:rPr>
        <w:t xml:space="preserve"> of the cases the remedy has not yet been substantially achieved (Group </w:t>
      </w:r>
      <w:r w:rsidR="003028F4" w:rsidRPr="00E07B7E">
        <w:rPr>
          <w:rFonts w:ascii="Times New Roman" w:hAnsi="Times New Roman" w:cs="Times New Roman"/>
          <w:sz w:val="24"/>
          <w:szCs w:val="24"/>
        </w:rPr>
        <w:t>1</w:t>
      </w:r>
      <w:r w:rsidRPr="00E07B7E">
        <w:rPr>
          <w:rFonts w:ascii="Times New Roman" w:hAnsi="Times New Roman" w:cs="Times New Roman"/>
          <w:sz w:val="24"/>
          <w:szCs w:val="24"/>
        </w:rPr>
        <w:t>B). In one case, the rightholders prevailed, the remedy was ordered, it was carried out and the rightsholder</w:t>
      </w:r>
      <w:r w:rsidR="00294299" w:rsidRPr="00E07B7E">
        <w:rPr>
          <w:rFonts w:ascii="Times New Roman" w:hAnsi="Times New Roman" w:cs="Times New Roman"/>
          <w:sz w:val="24"/>
          <w:szCs w:val="24"/>
        </w:rPr>
        <w:t>s</w:t>
      </w:r>
      <w:r w:rsidRPr="00E07B7E">
        <w:rPr>
          <w:rFonts w:ascii="Times New Roman" w:hAnsi="Times New Roman" w:cs="Times New Roman"/>
          <w:sz w:val="24"/>
          <w:szCs w:val="24"/>
        </w:rPr>
        <w:t xml:space="preserve"> did, in fact, obtain a remedy (Group </w:t>
      </w:r>
      <w:r w:rsidR="003028F4" w:rsidRPr="00E07B7E">
        <w:rPr>
          <w:rFonts w:ascii="Times New Roman" w:hAnsi="Times New Roman" w:cs="Times New Roman"/>
          <w:sz w:val="24"/>
          <w:szCs w:val="24"/>
        </w:rPr>
        <w:t>1</w:t>
      </w:r>
      <w:r w:rsidRPr="00E07B7E">
        <w:rPr>
          <w:rFonts w:ascii="Times New Roman" w:hAnsi="Times New Roman" w:cs="Times New Roman"/>
          <w:sz w:val="24"/>
          <w:szCs w:val="24"/>
        </w:rPr>
        <w:t xml:space="preserve">A).  These cases and groups are discussed in more detail below. </w:t>
      </w:r>
    </w:p>
    <w:p w14:paraId="50D655A1" w14:textId="7E55C73D" w:rsidR="00E14AD2" w:rsidRPr="00133F93" w:rsidRDefault="00133F93" w:rsidP="001659DC">
      <w:pPr>
        <w:spacing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INSERT Table 1 Group Claims (see end of manuscript)</w:t>
      </w:r>
    </w:p>
    <w:p w14:paraId="54242130" w14:textId="2BC0FBC1"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lastRenderedPageBreak/>
        <w:t xml:space="preserve">For the cases in Group </w:t>
      </w:r>
      <w:r w:rsidR="003028F4" w:rsidRPr="00E07B7E">
        <w:rPr>
          <w:rFonts w:ascii="Times New Roman" w:hAnsi="Times New Roman" w:cs="Times New Roman"/>
          <w:sz w:val="24"/>
          <w:szCs w:val="24"/>
        </w:rPr>
        <w:t>1</w:t>
      </w:r>
      <w:r w:rsidRPr="00E07B7E">
        <w:rPr>
          <w:rFonts w:ascii="Times New Roman" w:hAnsi="Times New Roman" w:cs="Times New Roman"/>
          <w:sz w:val="24"/>
          <w:szCs w:val="24"/>
        </w:rPr>
        <w:t xml:space="preserve">C, the pattern is rather consistent. There </w:t>
      </w:r>
      <w:r w:rsidR="004D0EEF" w:rsidRPr="00E07B7E">
        <w:rPr>
          <w:rFonts w:ascii="Times New Roman" w:hAnsi="Times New Roman" w:cs="Times New Roman"/>
          <w:sz w:val="24"/>
          <w:szCs w:val="24"/>
        </w:rPr>
        <w:t>wa</w:t>
      </w:r>
      <w:r w:rsidRPr="00E07B7E">
        <w:rPr>
          <w:rFonts w:ascii="Times New Roman" w:hAnsi="Times New Roman" w:cs="Times New Roman"/>
          <w:sz w:val="24"/>
          <w:szCs w:val="24"/>
        </w:rPr>
        <w:t>s a clear ruling against the company. The company protest</w:t>
      </w:r>
      <w:r w:rsidR="004D0EEF" w:rsidRPr="00E07B7E">
        <w:rPr>
          <w:rFonts w:ascii="Times New Roman" w:hAnsi="Times New Roman" w:cs="Times New Roman"/>
          <w:sz w:val="24"/>
          <w:szCs w:val="24"/>
        </w:rPr>
        <w:t>ed</w:t>
      </w:r>
      <w:r w:rsidRPr="00E07B7E">
        <w:rPr>
          <w:rFonts w:ascii="Times New Roman" w:hAnsi="Times New Roman" w:cs="Times New Roman"/>
          <w:sz w:val="24"/>
          <w:szCs w:val="24"/>
        </w:rPr>
        <w:t xml:space="preserve"> and sometimes appeal</w:t>
      </w:r>
      <w:r w:rsidR="004D0EEF" w:rsidRPr="00E07B7E">
        <w:rPr>
          <w:rFonts w:ascii="Times New Roman" w:hAnsi="Times New Roman" w:cs="Times New Roman"/>
          <w:sz w:val="24"/>
          <w:szCs w:val="24"/>
        </w:rPr>
        <w:t>ed</w:t>
      </w:r>
      <w:r w:rsidRPr="00E07B7E">
        <w:rPr>
          <w:rFonts w:ascii="Times New Roman" w:hAnsi="Times New Roman" w:cs="Times New Roman"/>
          <w:sz w:val="24"/>
          <w:szCs w:val="24"/>
        </w:rPr>
        <w:t xml:space="preserve"> the ruling. </w:t>
      </w:r>
      <w:r w:rsidR="00F6125E">
        <w:rPr>
          <w:rFonts w:ascii="Times New Roman" w:hAnsi="Times New Roman" w:cs="Times New Roman"/>
          <w:sz w:val="24"/>
          <w:szCs w:val="24"/>
        </w:rPr>
        <w:t>M</w:t>
      </w:r>
      <w:r w:rsidRPr="00E07B7E">
        <w:rPr>
          <w:rFonts w:ascii="Times New Roman" w:hAnsi="Times New Roman" w:cs="Times New Roman"/>
          <w:sz w:val="24"/>
          <w:szCs w:val="24"/>
        </w:rPr>
        <w:t>onitoring continue</w:t>
      </w:r>
      <w:r w:rsidR="004D0EEF" w:rsidRPr="00E07B7E">
        <w:rPr>
          <w:rFonts w:ascii="Times New Roman" w:hAnsi="Times New Roman" w:cs="Times New Roman"/>
          <w:sz w:val="24"/>
          <w:szCs w:val="24"/>
        </w:rPr>
        <w:t>d</w:t>
      </w:r>
      <w:r w:rsidRPr="00E07B7E">
        <w:rPr>
          <w:rFonts w:ascii="Times New Roman" w:hAnsi="Times New Roman" w:cs="Times New Roman"/>
          <w:sz w:val="24"/>
          <w:szCs w:val="24"/>
        </w:rPr>
        <w:t xml:space="preserve"> and f</w:t>
      </w:r>
      <w:r w:rsidR="004D0EEF" w:rsidRPr="00E07B7E">
        <w:rPr>
          <w:rFonts w:ascii="Times New Roman" w:hAnsi="Times New Roman" w:cs="Times New Roman"/>
          <w:sz w:val="24"/>
          <w:szCs w:val="24"/>
        </w:rPr>
        <w:t>ound</w:t>
      </w:r>
      <w:r w:rsidRPr="00E07B7E">
        <w:rPr>
          <w:rFonts w:ascii="Times New Roman" w:hAnsi="Times New Roman" w:cs="Times New Roman"/>
          <w:sz w:val="24"/>
          <w:szCs w:val="24"/>
        </w:rPr>
        <w:t xml:space="preserve"> non-compliance. Threating communications c</w:t>
      </w:r>
      <w:r w:rsidR="004D0EEF" w:rsidRPr="00E07B7E">
        <w:rPr>
          <w:rFonts w:ascii="Times New Roman" w:hAnsi="Times New Roman" w:cs="Times New Roman"/>
          <w:sz w:val="24"/>
          <w:szCs w:val="24"/>
        </w:rPr>
        <w:t>a</w:t>
      </w:r>
      <w:r w:rsidRPr="00E07B7E">
        <w:rPr>
          <w:rFonts w:ascii="Times New Roman" w:hAnsi="Times New Roman" w:cs="Times New Roman"/>
          <w:sz w:val="24"/>
          <w:szCs w:val="24"/>
        </w:rPr>
        <w:t xml:space="preserve">me from the </w:t>
      </w:r>
      <w:r w:rsidR="00647452">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647452">
        <w:rPr>
          <w:rFonts w:ascii="Times New Roman" w:hAnsi="Times New Roman" w:cs="Times New Roman"/>
          <w:sz w:val="24"/>
          <w:szCs w:val="24"/>
        </w:rPr>
        <w:t>P</w:t>
      </w:r>
      <w:r w:rsidRPr="00E07B7E">
        <w:rPr>
          <w:rFonts w:ascii="Times New Roman" w:hAnsi="Times New Roman" w:cs="Times New Roman"/>
          <w:sz w:val="24"/>
          <w:szCs w:val="24"/>
        </w:rPr>
        <w:t>anel. Ultimately the company quit RSPO (three cases) or s</w:t>
      </w:r>
      <w:r w:rsidR="004D0EEF" w:rsidRPr="00E07B7E">
        <w:rPr>
          <w:rFonts w:ascii="Times New Roman" w:hAnsi="Times New Roman" w:cs="Times New Roman"/>
          <w:sz w:val="24"/>
          <w:szCs w:val="24"/>
        </w:rPr>
        <w:t>old</w:t>
      </w:r>
      <w:r w:rsidRPr="00E07B7E">
        <w:rPr>
          <w:rFonts w:ascii="Times New Roman" w:hAnsi="Times New Roman" w:cs="Times New Roman"/>
          <w:sz w:val="24"/>
          <w:szCs w:val="24"/>
        </w:rPr>
        <w:t xml:space="preserve"> the plantation at issue to a company that </w:t>
      </w:r>
      <w:r w:rsidR="004D0EEF" w:rsidRPr="00E07B7E">
        <w:rPr>
          <w:rFonts w:ascii="Times New Roman" w:hAnsi="Times New Roman" w:cs="Times New Roman"/>
          <w:sz w:val="24"/>
          <w:szCs w:val="24"/>
        </w:rPr>
        <w:t>wa</w:t>
      </w:r>
      <w:r w:rsidRPr="00E07B7E">
        <w:rPr>
          <w:rFonts w:ascii="Times New Roman" w:hAnsi="Times New Roman" w:cs="Times New Roman"/>
          <w:sz w:val="24"/>
          <w:szCs w:val="24"/>
        </w:rPr>
        <w:t>s not an RSPO member (two cases). The company then, logically, argue</w:t>
      </w:r>
      <w:r w:rsidR="00646243" w:rsidRPr="00E07B7E">
        <w:rPr>
          <w:rFonts w:ascii="Times New Roman" w:hAnsi="Times New Roman" w:cs="Times New Roman"/>
          <w:sz w:val="24"/>
          <w:szCs w:val="24"/>
        </w:rPr>
        <w:t>d</w:t>
      </w:r>
      <w:r w:rsidRPr="00E07B7E">
        <w:rPr>
          <w:rFonts w:ascii="Times New Roman" w:hAnsi="Times New Roman" w:cs="Times New Roman"/>
          <w:sz w:val="24"/>
          <w:szCs w:val="24"/>
        </w:rPr>
        <w:t xml:space="preserve"> RSPO ha</w:t>
      </w:r>
      <w:r w:rsidR="00646243" w:rsidRPr="00E07B7E">
        <w:rPr>
          <w:rFonts w:ascii="Times New Roman" w:hAnsi="Times New Roman" w:cs="Times New Roman"/>
          <w:sz w:val="24"/>
          <w:szCs w:val="24"/>
        </w:rPr>
        <w:t>d</w:t>
      </w:r>
      <w:r w:rsidRPr="00E07B7E">
        <w:rPr>
          <w:rFonts w:ascii="Times New Roman" w:hAnsi="Times New Roman" w:cs="Times New Roman"/>
          <w:sz w:val="24"/>
          <w:szCs w:val="24"/>
        </w:rPr>
        <w:t xml:space="preserve"> no jurisdiction and ignore</w:t>
      </w:r>
      <w:r w:rsidR="004D0EEF" w:rsidRPr="00E07B7E">
        <w:rPr>
          <w:rFonts w:ascii="Times New Roman" w:hAnsi="Times New Roman" w:cs="Times New Roman"/>
          <w:sz w:val="24"/>
          <w:szCs w:val="24"/>
        </w:rPr>
        <w:t>d</w:t>
      </w:r>
      <w:r w:rsidRPr="00E07B7E">
        <w:rPr>
          <w:rFonts w:ascii="Times New Roman" w:hAnsi="Times New Roman" w:cs="Times New Roman"/>
          <w:sz w:val="24"/>
          <w:szCs w:val="24"/>
        </w:rPr>
        <w:t xml:space="preserve"> the ruling. In the one remaining case, the </w:t>
      </w:r>
      <w:r w:rsidR="001879AF">
        <w:rPr>
          <w:rFonts w:ascii="Times New Roman" w:hAnsi="Times New Roman" w:cs="Times New Roman"/>
          <w:sz w:val="24"/>
          <w:szCs w:val="24"/>
        </w:rPr>
        <w:t>C</w:t>
      </w:r>
      <w:r w:rsidRPr="00E07B7E">
        <w:rPr>
          <w:rFonts w:ascii="Times New Roman" w:hAnsi="Times New Roman" w:cs="Times New Roman"/>
          <w:sz w:val="24"/>
          <w:szCs w:val="24"/>
        </w:rPr>
        <w:t xml:space="preserve">omplaints </w:t>
      </w:r>
      <w:r w:rsidR="001879AF">
        <w:rPr>
          <w:rFonts w:ascii="Times New Roman" w:hAnsi="Times New Roman" w:cs="Times New Roman"/>
          <w:sz w:val="24"/>
          <w:szCs w:val="24"/>
        </w:rPr>
        <w:t>P</w:t>
      </w:r>
      <w:r w:rsidRPr="00E07B7E">
        <w:rPr>
          <w:rFonts w:ascii="Times New Roman" w:hAnsi="Times New Roman" w:cs="Times New Roman"/>
          <w:sz w:val="24"/>
          <w:szCs w:val="24"/>
        </w:rPr>
        <w:t xml:space="preserve">anel </w:t>
      </w:r>
      <w:r w:rsidR="007D46D0">
        <w:rPr>
          <w:rFonts w:ascii="Times New Roman" w:hAnsi="Times New Roman" w:cs="Times New Roman"/>
          <w:sz w:val="24"/>
          <w:szCs w:val="24"/>
        </w:rPr>
        <w:t>suspended</w:t>
      </w:r>
      <w:r w:rsidRPr="00E07B7E">
        <w:rPr>
          <w:rFonts w:ascii="Times New Roman" w:hAnsi="Times New Roman" w:cs="Times New Roman"/>
          <w:sz w:val="24"/>
          <w:szCs w:val="24"/>
        </w:rPr>
        <w:t xml:space="preserve"> the membership status of the company, only allowing it to return once it could prove compliance. There is no record that it attempted to do so. </w:t>
      </w:r>
      <w:r w:rsidR="00F6125E">
        <w:rPr>
          <w:rFonts w:ascii="Times New Roman" w:hAnsi="Times New Roman" w:cs="Times New Roman"/>
          <w:sz w:val="24"/>
          <w:szCs w:val="24"/>
        </w:rPr>
        <w:t>In none of these case</w:t>
      </w:r>
      <w:r w:rsidR="000C24A8">
        <w:rPr>
          <w:rFonts w:ascii="Times New Roman" w:hAnsi="Times New Roman" w:cs="Times New Roman"/>
          <w:sz w:val="24"/>
          <w:szCs w:val="24"/>
        </w:rPr>
        <w:t>s</w:t>
      </w:r>
      <w:r w:rsidR="00F6125E">
        <w:rPr>
          <w:rFonts w:ascii="Times New Roman" w:hAnsi="Times New Roman" w:cs="Times New Roman"/>
          <w:sz w:val="24"/>
          <w:szCs w:val="24"/>
        </w:rPr>
        <w:t xml:space="preserve"> did the </w:t>
      </w:r>
      <w:r w:rsidR="00A751E2">
        <w:rPr>
          <w:rFonts w:ascii="Times New Roman" w:hAnsi="Times New Roman" w:cs="Times New Roman"/>
          <w:sz w:val="24"/>
          <w:szCs w:val="24"/>
        </w:rPr>
        <w:t>claimants receive any benefit, other than, perhaps, the satisfaction of seeing the respondent company</w:t>
      </w:r>
      <w:r w:rsidR="009A175E">
        <w:rPr>
          <w:rFonts w:ascii="Times New Roman" w:hAnsi="Times New Roman" w:cs="Times New Roman"/>
          <w:sz w:val="24"/>
          <w:szCs w:val="24"/>
        </w:rPr>
        <w:t xml:space="preserve"> leaving RSPO. </w:t>
      </w:r>
      <w:r w:rsidR="00EF683F">
        <w:rPr>
          <w:rFonts w:ascii="Times New Roman" w:hAnsi="Times New Roman" w:cs="Times New Roman"/>
          <w:sz w:val="24"/>
          <w:szCs w:val="24"/>
        </w:rPr>
        <w:t xml:space="preserve">Applying the definition of </w:t>
      </w:r>
      <w:r w:rsidR="00252F06">
        <w:rPr>
          <w:rFonts w:ascii="Times New Roman" w:hAnsi="Times New Roman" w:cs="Times New Roman"/>
          <w:sz w:val="24"/>
          <w:szCs w:val="24"/>
        </w:rPr>
        <w:t>e</w:t>
      </w:r>
      <w:r w:rsidR="00EF683F">
        <w:rPr>
          <w:rFonts w:ascii="Times New Roman" w:hAnsi="Times New Roman" w:cs="Times New Roman"/>
          <w:sz w:val="24"/>
          <w:szCs w:val="24"/>
        </w:rPr>
        <w:t xml:space="preserve">ffective </w:t>
      </w:r>
      <w:r w:rsidR="00252F06">
        <w:rPr>
          <w:rFonts w:ascii="Times New Roman" w:hAnsi="Times New Roman" w:cs="Times New Roman"/>
          <w:sz w:val="24"/>
          <w:szCs w:val="24"/>
        </w:rPr>
        <w:t>r</w:t>
      </w:r>
      <w:r w:rsidR="00EF683F">
        <w:rPr>
          <w:rFonts w:ascii="Times New Roman" w:hAnsi="Times New Roman" w:cs="Times New Roman"/>
          <w:sz w:val="24"/>
          <w:szCs w:val="24"/>
        </w:rPr>
        <w:t xml:space="preserve">emedy </w:t>
      </w:r>
      <w:r w:rsidR="006320F1">
        <w:rPr>
          <w:rFonts w:ascii="Times New Roman" w:hAnsi="Times New Roman" w:cs="Times New Roman"/>
          <w:sz w:val="24"/>
          <w:szCs w:val="24"/>
        </w:rPr>
        <w:t xml:space="preserve">stated above, there was no cessation, </w:t>
      </w:r>
      <w:r w:rsidR="00257566">
        <w:rPr>
          <w:rFonts w:ascii="Times New Roman" w:hAnsi="Times New Roman" w:cs="Times New Roman"/>
          <w:sz w:val="24"/>
          <w:szCs w:val="24"/>
        </w:rPr>
        <w:t>restoration,</w:t>
      </w:r>
      <w:r w:rsidR="008A56C7">
        <w:rPr>
          <w:rFonts w:ascii="Times New Roman" w:hAnsi="Times New Roman" w:cs="Times New Roman"/>
          <w:sz w:val="24"/>
          <w:szCs w:val="24"/>
        </w:rPr>
        <w:t xml:space="preserve"> or reparation of any kind. The company or plantation at issue simply</w:t>
      </w:r>
      <w:r w:rsidR="00CB6E29">
        <w:rPr>
          <w:rFonts w:ascii="Times New Roman" w:hAnsi="Times New Roman" w:cs="Times New Roman"/>
          <w:sz w:val="24"/>
          <w:szCs w:val="24"/>
        </w:rPr>
        <w:t xml:space="preserve"> exited the certification scheme</w:t>
      </w:r>
      <w:r w:rsidR="009C4B21">
        <w:rPr>
          <w:rFonts w:ascii="Times New Roman" w:hAnsi="Times New Roman" w:cs="Times New Roman"/>
          <w:sz w:val="24"/>
          <w:szCs w:val="24"/>
        </w:rPr>
        <w:t xml:space="preserve"> and the grounds of complaint </w:t>
      </w:r>
      <w:r w:rsidR="00DD528D">
        <w:rPr>
          <w:rFonts w:ascii="Times New Roman" w:hAnsi="Times New Roman" w:cs="Times New Roman"/>
          <w:sz w:val="24"/>
          <w:szCs w:val="24"/>
        </w:rPr>
        <w:t>persisted unremedied</w:t>
      </w:r>
      <w:r w:rsidR="00CB6E29">
        <w:rPr>
          <w:rFonts w:ascii="Times New Roman" w:hAnsi="Times New Roman" w:cs="Times New Roman"/>
          <w:sz w:val="24"/>
          <w:szCs w:val="24"/>
        </w:rPr>
        <w:t xml:space="preserve">. </w:t>
      </w:r>
      <w:r w:rsidR="00960A15">
        <w:rPr>
          <w:rFonts w:ascii="Times New Roman" w:hAnsi="Times New Roman" w:cs="Times New Roman"/>
          <w:sz w:val="24"/>
          <w:szCs w:val="24"/>
        </w:rPr>
        <w:t xml:space="preserve">These companies lost the ability to obtain RSPO certification for their products. </w:t>
      </w:r>
      <w:r w:rsidR="00037135">
        <w:rPr>
          <w:rFonts w:ascii="Times New Roman" w:hAnsi="Times New Roman" w:cs="Times New Roman"/>
          <w:sz w:val="24"/>
          <w:szCs w:val="24"/>
        </w:rPr>
        <w:t>Such a cer</w:t>
      </w:r>
      <w:r w:rsidR="0021156B">
        <w:rPr>
          <w:rFonts w:ascii="Times New Roman" w:hAnsi="Times New Roman" w:cs="Times New Roman"/>
          <w:sz w:val="24"/>
          <w:szCs w:val="24"/>
        </w:rPr>
        <w:t>t</w:t>
      </w:r>
      <w:r w:rsidR="00037135">
        <w:rPr>
          <w:rFonts w:ascii="Times New Roman" w:hAnsi="Times New Roman" w:cs="Times New Roman"/>
          <w:sz w:val="24"/>
          <w:szCs w:val="24"/>
        </w:rPr>
        <w:t>ifica</w:t>
      </w:r>
      <w:r w:rsidR="00A46FFB">
        <w:rPr>
          <w:rFonts w:ascii="Times New Roman" w:hAnsi="Times New Roman" w:cs="Times New Roman"/>
          <w:sz w:val="24"/>
          <w:szCs w:val="24"/>
        </w:rPr>
        <w:t>t</w:t>
      </w:r>
      <w:r w:rsidR="00037135">
        <w:rPr>
          <w:rFonts w:ascii="Times New Roman" w:hAnsi="Times New Roman" w:cs="Times New Roman"/>
          <w:sz w:val="24"/>
          <w:szCs w:val="24"/>
        </w:rPr>
        <w:t xml:space="preserve">ion is generally considered a financial benefit, and so </w:t>
      </w:r>
      <w:r w:rsidR="009F049E">
        <w:rPr>
          <w:rFonts w:ascii="Times New Roman" w:hAnsi="Times New Roman" w:cs="Times New Roman"/>
          <w:sz w:val="24"/>
          <w:szCs w:val="24"/>
        </w:rPr>
        <w:t xml:space="preserve">these companies did </w:t>
      </w:r>
      <w:r w:rsidR="005A59FA">
        <w:rPr>
          <w:rFonts w:ascii="Times New Roman" w:hAnsi="Times New Roman" w:cs="Times New Roman"/>
          <w:sz w:val="24"/>
          <w:szCs w:val="24"/>
        </w:rPr>
        <w:t>voluntarily</w:t>
      </w:r>
      <w:r w:rsidR="009F049E">
        <w:rPr>
          <w:rFonts w:ascii="Times New Roman" w:hAnsi="Times New Roman" w:cs="Times New Roman"/>
          <w:sz w:val="24"/>
          <w:szCs w:val="24"/>
        </w:rPr>
        <w:t xml:space="preserve"> forego that benefit. </w:t>
      </w:r>
      <w:r w:rsidR="00F15BC6">
        <w:rPr>
          <w:rFonts w:ascii="Times New Roman" w:hAnsi="Times New Roman" w:cs="Times New Roman"/>
          <w:sz w:val="24"/>
          <w:szCs w:val="24"/>
        </w:rPr>
        <w:t>But n</w:t>
      </w:r>
      <w:r w:rsidR="009A175E">
        <w:rPr>
          <w:rFonts w:ascii="Times New Roman" w:hAnsi="Times New Roman" w:cs="Times New Roman"/>
          <w:sz w:val="24"/>
          <w:szCs w:val="24"/>
        </w:rPr>
        <w:t>o remedy was provided</w:t>
      </w:r>
      <w:r w:rsidR="00C24A3C">
        <w:rPr>
          <w:rFonts w:ascii="Times New Roman" w:hAnsi="Times New Roman" w:cs="Times New Roman"/>
          <w:sz w:val="24"/>
          <w:szCs w:val="24"/>
        </w:rPr>
        <w:t xml:space="preserve"> </w:t>
      </w:r>
      <w:r w:rsidR="00F15BC6">
        <w:rPr>
          <w:rFonts w:ascii="Times New Roman" w:hAnsi="Times New Roman" w:cs="Times New Roman"/>
          <w:sz w:val="24"/>
          <w:szCs w:val="24"/>
        </w:rPr>
        <w:t xml:space="preserve">to rightsholders </w:t>
      </w:r>
      <w:r w:rsidR="00C24A3C">
        <w:rPr>
          <w:rFonts w:ascii="Times New Roman" w:hAnsi="Times New Roman" w:cs="Times New Roman"/>
          <w:sz w:val="24"/>
          <w:szCs w:val="24"/>
        </w:rPr>
        <w:t>for the human rights infringements</w:t>
      </w:r>
      <w:r w:rsidR="000F0EB2">
        <w:rPr>
          <w:rFonts w:ascii="Times New Roman" w:hAnsi="Times New Roman" w:cs="Times New Roman"/>
          <w:sz w:val="24"/>
          <w:szCs w:val="24"/>
        </w:rPr>
        <w:t xml:space="preserve"> </w:t>
      </w:r>
      <w:r w:rsidR="00994167">
        <w:rPr>
          <w:rFonts w:ascii="Times New Roman" w:hAnsi="Times New Roman" w:cs="Times New Roman"/>
          <w:sz w:val="24"/>
          <w:szCs w:val="24"/>
        </w:rPr>
        <w:t xml:space="preserve">which RSPO found to </w:t>
      </w:r>
      <w:r w:rsidR="00164DCB">
        <w:rPr>
          <w:rFonts w:ascii="Times New Roman" w:hAnsi="Times New Roman" w:cs="Times New Roman"/>
          <w:sz w:val="24"/>
          <w:szCs w:val="24"/>
        </w:rPr>
        <w:t>exist in these cases</w:t>
      </w:r>
      <w:r w:rsidR="000F0EB2">
        <w:rPr>
          <w:rFonts w:ascii="Times New Roman" w:hAnsi="Times New Roman" w:cs="Times New Roman"/>
          <w:sz w:val="24"/>
          <w:szCs w:val="24"/>
        </w:rPr>
        <w:t>.</w:t>
      </w:r>
      <w:r w:rsidR="00A46FFB">
        <w:rPr>
          <w:rFonts w:ascii="Times New Roman" w:hAnsi="Times New Roman" w:cs="Times New Roman"/>
          <w:sz w:val="24"/>
          <w:szCs w:val="24"/>
        </w:rPr>
        <w:t xml:space="preserve"> Far from an effective remedy, these actions must be deemed “effective evasion.” </w:t>
      </w:r>
      <w:r w:rsidR="000F0EB2">
        <w:rPr>
          <w:rFonts w:ascii="Times New Roman" w:hAnsi="Times New Roman" w:cs="Times New Roman"/>
          <w:sz w:val="24"/>
          <w:szCs w:val="24"/>
        </w:rPr>
        <w:t xml:space="preserve"> </w:t>
      </w:r>
    </w:p>
    <w:p w14:paraId="32EC842E" w14:textId="2586DF26" w:rsidR="00FB2E38" w:rsidRPr="00E07B7E" w:rsidRDefault="00AE0AEF"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Group 1B claims are those in which a remedy was </w:t>
      </w:r>
      <w:proofErr w:type="gramStart"/>
      <w:r>
        <w:rPr>
          <w:rFonts w:ascii="Times New Roman" w:hAnsi="Times New Roman" w:cs="Times New Roman"/>
          <w:sz w:val="24"/>
          <w:szCs w:val="24"/>
        </w:rPr>
        <w:t>ordered, but</w:t>
      </w:r>
      <w:proofErr w:type="gramEnd"/>
      <w:r>
        <w:rPr>
          <w:rFonts w:ascii="Times New Roman" w:hAnsi="Times New Roman" w:cs="Times New Roman"/>
          <w:sz w:val="24"/>
          <w:szCs w:val="24"/>
        </w:rPr>
        <w:t xml:space="preserve"> has not yet been provided. </w:t>
      </w:r>
      <w:r w:rsidR="00260A96" w:rsidRPr="00E07B7E">
        <w:rPr>
          <w:rFonts w:ascii="Times New Roman" w:hAnsi="Times New Roman" w:cs="Times New Roman"/>
          <w:sz w:val="24"/>
          <w:szCs w:val="24"/>
        </w:rPr>
        <w:t xml:space="preserve">For the three Group 1B claims we provide summaries of key </w:t>
      </w:r>
      <w:r w:rsidR="006631D9">
        <w:rPr>
          <w:rFonts w:ascii="Times New Roman" w:hAnsi="Times New Roman" w:cs="Times New Roman"/>
          <w:sz w:val="24"/>
          <w:szCs w:val="24"/>
        </w:rPr>
        <w:t xml:space="preserve">aspects of </w:t>
      </w:r>
      <w:r w:rsidR="00260A96" w:rsidRPr="00E07B7E">
        <w:rPr>
          <w:rFonts w:ascii="Times New Roman" w:hAnsi="Times New Roman" w:cs="Times New Roman"/>
          <w:sz w:val="24"/>
          <w:szCs w:val="24"/>
        </w:rPr>
        <w:t xml:space="preserve">the case so that the rationale for why no remedy has been </w:t>
      </w:r>
      <w:r>
        <w:rPr>
          <w:rFonts w:ascii="Times New Roman" w:hAnsi="Times New Roman" w:cs="Times New Roman"/>
          <w:sz w:val="24"/>
          <w:szCs w:val="24"/>
        </w:rPr>
        <w:t xml:space="preserve">yet </w:t>
      </w:r>
      <w:r w:rsidR="00260A96" w:rsidRPr="00E07B7E">
        <w:rPr>
          <w:rFonts w:ascii="Times New Roman" w:hAnsi="Times New Roman" w:cs="Times New Roman"/>
          <w:sz w:val="24"/>
          <w:szCs w:val="24"/>
        </w:rPr>
        <w:t>provided is clear.</w:t>
      </w:r>
    </w:p>
    <w:p w14:paraId="46C1DECE" w14:textId="5685AD7E" w:rsidR="00FB2E38" w:rsidRPr="00E07B7E" w:rsidRDefault="00F11D90"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u w:val="single"/>
        </w:rPr>
        <w:t xml:space="preserve">Alman, S.H. </w:t>
      </w:r>
      <w:proofErr w:type="spellStart"/>
      <w:r w:rsidRPr="00E07B7E">
        <w:rPr>
          <w:rFonts w:ascii="Times New Roman" w:hAnsi="Times New Roman" w:cs="Times New Roman"/>
          <w:sz w:val="24"/>
          <w:szCs w:val="24"/>
          <w:u w:val="single"/>
        </w:rPr>
        <w:t>gampo</w:t>
      </w:r>
      <w:proofErr w:type="spellEnd"/>
      <w:r w:rsidRPr="00E07B7E">
        <w:rPr>
          <w:rFonts w:ascii="Times New Roman" w:hAnsi="Times New Roman" w:cs="Times New Roman"/>
          <w:sz w:val="24"/>
          <w:szCs w:val="24"/>
          <w:u w:val="single"/>
        </w:rPr>
        <w:t xml:space="preserve"> </w:t>
      </w:r>
      <w:proofErr w:type="spellStart"/>
      <w:r w:rsidRPr="00E07B7E">
        <w:rPr>
          <w:rFonts w:ascii="Times New Roman" w:hAnsi="Times New Roman" w:cs="Times New Roman"/>
          <w:sz w:val="24"/>
          <w:szCs w:val="24"/>
          <w:u w:val="single"/>
        </w:rPr>
        <w:t>Alam</w:t>
      </w:r>
      <w:proofErr w:type="spellEnd"/>
      <w:r w:rsidRPr="00E07B7E">
        <w:rPr>
          <w:rFonts w:ascii="Times New Roman" w:hAnsi="Times New Roman" w:cs="Times New Roman"/>
          <w:sz w:val="24"/>
          <w:szCs w:val="24"/>
          <w:u w:val="single"/>
        </w:rPr>
        <w:t xml:space="preserve">, </w:t>
      </w:r>
      <w:proofErr w:type="spellStart"/>
      <w:r w:rsidRPr="00E07B7E">
        <w:rPr>
          <w:rFonts w:ascii="Times New Roman" w:hAnsi="Times New Roman" w:cs="Times New Roman"/>
          <w:sz w:val="24"/>
          <w:szCs w:val="24"/>
          <w:u w:val="single"/>
        </w:rPr>
        <w:t>Pucuak</w:t>
      </w:r>
      <w:proofErr w:type="spellEnd"/>
      <w:r w:rsidRPr="00E07B7E">
        <w:rPr>
          <w:rFonts w:ascii="Times New Roman" w:hAnsi="Times New Roman" w:cs="Times New Roman"/>
          <w:sz w:val="24"/>
          <w:szCs w:val="24"/>
          <w:u w:val="single"/>
        </w:rPr>
        <w:t xml:space="preserve"> Adat Nagari Kapa (indigenous leader of the Nagari Kapa) </w:t>
      </w:r>
      <w:r w:rsidR="00B6746E" w:rsidRPr="00E07B7E">
        <w:rPr>
          <w:rFonts w:ascii="Times New Roman" w:hAnsi="Times New Roman" w:cs="Times New Roman"/>
          <w:sz w:val="24"/>
          <w:szCs w:val="24"/>
          <w:u w:val="single"/>
        </w:rPr>
        <w:t xml:space="preserve">supported by the Forest People </w:t>
      </w:r>
      <w:proofErr w:type="spellStart"/>
      <w:r w:rsidR="00B6746E" w:rsidRPr="00E07B7E">
        <w:rPr>
          <w:rFonts w:ascii="Times New Roman" w:hAnsi="Times New Roman" w:cs="Times New Roman"/>
          <w:sz w:val="24"/>
          <w:szCs w:val="24"/>
          <w:u w:val="single"/>
        </w:rPr>
        <w:t>Programme</w:t>
      </w:r>
      <w:proofErr w:type="spellEnd"/>
      <w:r w:rsidR="00B6746E" w:rsidRPr="00E07B7E">
        <w:rPr>
          <w:rFonts w:ascii="Times New Roman" w:hAnsi="Times New Roman" w:cs="Times New Roman"/>
          <w:sz w:val="24"/>
          <w:szCs w:val="24"/>
          <w:u w:val="single"/>
        </w:rPr>
        <w:t xml:space="preserve"> </w:t>
      </w:r>
      <w:r w:rsidRPr="00E07B7E">
        <w:rPr>
          <w:rFonts w:ascii="Times New Roman" w:hAnsi="Times New Roman" w:cs="Times New Roman"/>
          <w:sz w:val="24"/>
          <w:szCs w:val="24"/>
          <w:u w:val="single"/>
        </w:rPr>
        <w:t xml:space="preserve">et al. vs. </w:t>
      </w:r>
      <w:r w:rsidR="00FB2E38" w:rsidRPr="00E07B7E">
        <w:rPr>
          <w:rFonts w:ascii="Times New Roman" w:hAnsi="Times New Roman" w:cs="Times New Roman"/>
          <w:sz w:val="24"/>
          <w:szCs w:val="24"/>
          <w:u w:val="single"/>
        </w:rPr>
        <w:t>PT Permata</w:t>
      </w:r>
      <w:r w:rsidRPr="00E07B7E">
        <w:rPr>
          <w:rFonts w:ascii="Times New Roman" w:hAnsi="Times New Roman" w:cs="Times New Roman"/>
          <w:sz w:val="24"/>
          <w:szCs w:val="24"/>
          <w:u w:val="single"/>
        </w:rPr>
        <w:t xml:space="preserve"> Hijau </w:t>
      </w:r>
      <w:proofErr w:type="spellStart"/>
      <w:r w:rsidRPr="00E07B7E">
        <w:rPr>
          <w:rFonts w:ascii="Times New Roman" w:hAnsi="Times New Roman" w:cs="Times New Roman"/>
          <w:sz w:val="24"/>
          <w:szCs w:val="24"/>
          <w:u w:val="single"/>
        </w:rPr>
        <w:t>Pasaman</w:t>
      </w:r>
      <w:proofErr w:type="spellEnd"/>
      <w:r w:rsidRPr="00E07B7E">
        <w:rPr>
          <w:rFonts w:ascii="Times New Roman" w:hAnsi="Times New Roman" w:cs="Times New Roman"/>
          <w:sz w:val="24"/>
          <w:szCs w:val="24"/>
          <w:u w:val="single"/>
        </w:rPr>
        <w:t xml:space="preserve"> (a subsidiary of Wilmar International Limited)</w:t>
      </w:r>
      <w:r w:rsidR="00294299" w:rsidRPr="00E07B7E">
        <w:rPr>
          <w:rFonts w:ascii="Times New Roman" w:hAnsi="Times New Roman" w:cs="Times New Roman"/>
          <w:sz w:val="24"/>
          <w:szCs w:val="24"/>
          <w:u w:val="single"/>
        </w:rPr>
        <w:t>.</w:t>
      </w:r>
      <w:r w:rsidR="00B6746E" w:rsidRPr="00E07B7E">
        <w:rPr>
          <w:rStyle w:val="FootnoteReference"/>
          <w:rFonts w:ascii="Times New Roman" w:hAnsi="Times New Roman" w:cs="Times New Roman"/>
          <w:sz w:val="24"/>
          <w:szCs w:val="24"/>
        </w:rPr>
        <w:footnoteReference w:id="76"/>
      </w:r>
      <w:r w:rsidR="00FB2E38" w:rsidRPr="00E07B7E">
        <w:rPr>
          <w:rFonts w:ascii="Times New Roman" w:hAnsi="Times New Roman" w:cs="Times New Roman"/>
          <w:b/>
          <w:bCs/>
          <w:sz w:val="24"/>
          <w:szCs w:val="24"/>
        </w:rPr>
        <w:t xml:space="preserve"> </w:t>
      </w:r>
      <w:r w:rsidR="002E0151" w:rsidRPr="00E07B7E">
        <w:rPr>
          <w:rFonts w:ascii="Times New Roman" w:hAnsi="Times New Roman" w:cs="Times New Roman"/>
          <w:sz w:val="24"/>
          <w:szCs w:val="24"/>
        </w:rPr>
        <w:t>T</w:t>
      </w:r>
      <w:r w:rsidR="00FB2E38" w:rsidRPr="00E07B7E">
        <w:rPr>
          <w:rFonts w:ascii="Times New Roman" w:hAnsi="Times New Roman" w:cs="Times New Roman"/>
          <w:sz w:val="24"/>
          <w:szCs w:val="24"/>
        </w:rPr>
        <w:t>he</w:t>
      </w:r>
      <w:r w:rsidR="00A149E8" w:rsidRPr="00E07B7E">
        <w:rPr>
          <w:rFonts w:ascii="Times New Roman" w:hAnsi="Times New Roman" w:cs="Times New Roman"/>
          <w:sz w:val="24"/>
          <w:szCs w:val="24"/>
        </w:rPr>
        <w:t xml:space="preserve"> </w:t>
      </w:r>
      <w:r w:rsidR="00D94182" w:rsidRPr="00E07B7E">
        <w:rPr>
          <w:rFonts w:ascii="Times New Roman" w:hAnsi="Times New Roman" w:cs="Times New Roman"/>
          <w:sz w:val="24"/>
          <w:szCs w:val="24"/>
        </w:rPr>
        <w:t xml:space="preserve">Nagari Kapa </w:t>
      </w:r>
      <w:r w:rsidR="00F67711" w:rsidRPr="00E07B7E">
        <w:rPr>
          <w:rFonts w:ascii="Times New Roman" w:hAnsi="Times New Roman" w:cs="Times New Roman"/>
          <w:sz w:val="24"/>
          <w:szCs w:val="24"/>
        </w:rPr>
        <w:t>indigenous</w:t>
      </w:r>
      <w:r w:rsidR="00D94182" w:rsidRPr="00E07B7E">
        <w:rPr>
          <w:rFonts w:ascii="Times New Roman" w:hAnsi="Times New Roman" w:cs="Times New Roman"/>
          <w:sz w:val="24"/>
          <w:szCs w:val="24"/>
        </w:rPr>
        <w:t xml:space="preserve"> </w:t>
      </w:r>
      <w:r w:rsidR="00A149E8" w:rsidRPr="00E07B7E">
        <w:rPr>
          <w:rFonts w:ascii="Times New Roman" w:hAnsi="Times New Roman" w:cs="Times New Roman"/>
          <w:sz w:val="24"/>
          <w:szCs w:val="24"/>
        </w:rPr>
        <w:t>community</w:t>
      </w:r>
      <w:r w:rsidR="00C006FC" w:rsidRPr="00E07B7E">
        <w:rPr>
          <w:rFonts w:ascii="Times New Roman" w:hAnsi="Times New Roman" w:cs="Times New Roman"/>
          <w:sz w:val="24"/>
          <w:szCs w:val="24"/>
        </w:rPr>
        <w:t xml:space="preserve"> </w:t>
      </w:r>
      <w:r w:rsidR="00D94182" w:rsidRPr="00E07B7E">
        <w:rPr>
          <w:rFonts w:ascii="Times New Roman" w:hAnsi="Times New Roman" w:cs="Times New Roman"/>
          <w:sz w:val="24"/>
          <w:szCs w:val="24"/>
        </w:rPr>
        <w:t xml:space="preserve">of Sumatra, Indonesia, </w:t>
      </w:r>
      <w:r w:rsidR="002E0151" w:rsidRPr="00E07B7E">
        <w:rPr>
          <w:rFonts w:ascii="Times New Roman" w:hAnsi="Times New Roman" w:cs="Times New Roman"/>
          <w:sz w:val="24"/>
          <w:szCs w:val="24"/>
        </w:rPr>
        <w:t xml:space="preserve">accused </w:t>
      </w:r>
      <w:r w:rsidR="00A149E8" w:rsidRPr="00E07B7E">
        <w:rPr>
          <w:rFonts w:ascii="Times New Roman" w:hAnsi="Times New Roman" w:cs="Times New Roman"/>
          <w:sz w:val="24"/>
          <w:szCs w:val="24"/>
        </w:rPr>
        <w:t xml:space="preserve">the </w:t>
      </w:r>
      <w:r w:rsidR="00D94182" w:rsidRPr="00E07B7E">
        <w:rPr>
          <w:rFonts w:ascii="Times New Roman" w:hAnsi="Times New Roman" w:cs="Times New Roman"/>
          <w:sz w:val="24"/>
          <w:szCs w:val="24"/>
        </w:rPr>
        <w:t xml:space="preserve">respondent </w:t>
      </w:r>
      <w:r w:rsidR="00A149E8" w:rsidRPr="00E07B7E">
        <w:rPr>
          <w:rFonts w:ascii="Times New Roman" w:hAnsi="Times New Roman" w:cs="Times New Roman"/>
          <w:sz w:val="24"/>
          <w:szCs w:val="24"/>
        </w:rPr>
        <w:t>company</w:t>
      </w:r>
      <w:r w:rsidR="00D94182" w:rsidRPr="00E07B7E">
        <w:rPr>
          <w:rFonts w:ascii="Times New Roman" w:hAnsi="Times New Roman" w:cs="Times New Roman"/>
          <w:sz w:val="24"/>
          <w:szCs w:val="24"/>
        </w:rPr>
        <w:t>, a subsidiary of the world’s largest palm oil producer,</w:t>
      </w:r>
      <w:r w:rsidR="00A149E8" w:rsidRPr="00E07B7E">
        <w:rPr>
          <w:rFonts w:ascii="Times New Roman" w:hAnsi="Times New Roman" w:cs="Times New Roman"/>
          <w:sz w:val="24"/>
          <w:szCs w:val="24"/>
        </w:rPr>
        <w:t xml:space="preserve"> </w:t>
      </w:r>
      <w:r w:rsidR="002E0151" w:rsidRPr="00E07B7E">
        <w:rPr>
          <w:rFonts w:ascii="Times New Roman" w:hAnsi="Times New Roman" w:cs="Times New Roman"/>
          <w:sz w:val="24"/>
          <w:szCs w:val="24"/>
        </w:rPr>
        <w:t>of incorporating the</w:t>
      </w:r>
      <w:r w:rsidR="00D94182" w:rsidRPr="00E07B7E">
        <w:rPr>
          <w:rFonts w:ascii="Times New Roman" w:hAnsi="Times New Roman" w:cs="Times New Roman"/>
          <w:sz w:val="24"/>
          <w:szCs w:val="24"/>
        </w:rPr>
        <w:t>ir</w:t>
      </w:r>
      <w:r w:rsidR="002E0151" w:rsidRPr="00E07B7E">
        <w:rPr>
          <w:rFonts w:ascii="Times New Roman" w:hAnsi="Times New Roman" w:cs="Times New Roman"/>
          <w:sz w:val="24"/>
          <w:szCs w:val="24"/>
        </w:rPr>
        <w:t xml:space="preserve"> land</w:t>
      </w:r>
      <w:r w:rsidR="00D94182" w:rsidRPr="00E07B7E">
        <w:rPr>
          <w:rFonts w:ascii="Times New Roman" w:hAnsi="Times New Roman" w:cs="Times New Roman"/>
          <w:sz w:val="24"/>
          <w:szCs w:val="24"/>
        </w:rPr>
        <w:t>,</w:t>
      </w:r>
      <w:r w:rsidR="002E0151" w:rsidRPr="00E07B7E">
        <w:rPr>
          <w:rFonts w:ascii="Times New Roman" w:hAnsi="Times New Roman" w:cs="Times New Roman"/>
          <w:sz w:val="24"/>
          <w:szCs w:val="24"/>
        </w:rPr>
        <w:t xml:space="preserve"> </w:t>
      </w:r>
      <w:r w:rsidR="00951EF0" w:rsidRPr="00E07B7E">
        <w:rPr>
          <w:rFonts w:ascii="Times New Roman" w:hAnsi="Times New Roman" w:cs="Times New Roman"/>
          <w:sz w:val="24"/>
          <w:szCs w:val="24"/>
        </w:rPr>
        <w:t>without their consent</w:t>
      </w:r>
      <w:r w:rsidR="00D94182" w:rsidRPr="00E07B7E">
        <w:rPr>
          <w:rFonts w:ascii="Times New Roman" w:hAnsi="Times New Roman" w:cs="Times New Roman"/>
          <w:sz w:val="24"/>
          <w:szCs w:val="24"/>
        </w:rPr>
        <w:t>,</w:t>
      </w:r>
      <w:r w:rsidR="00951EF0" w:rsidRPr="00E07B7E">
        <w:rPr>
          <w:rFonts w:ascii="Times New Roman" w:hAnsi="Times New Roman" w:cs="Times New Roman"/>
          <w:sz w:val="24"/>
          <w:szCs w:val="24"/>
        </w:rPr>
        <w:t xml:space="preserve"> </w:t>
      </w:r>
      <w:r w:rsidR="00606765" w:rsidRPr="00E07B7E">
        <w:rPr>
          <w:rFonts w:ascii="Times New Roman" w:hAnsi="Times New Roman" w:cs="Times New Roman"/>
          <w:sz w:val="24"/>
          <w:szCs w:val="24"/>
        </w:rPr>
        <w:t xml:space="preserve">into its plantation over twenty years ago. </w:t>
      </w:r>
      <w:r w:rsidR="00C006FC" w:rsidRPr="00E07B7E">
        <w:rPr>
          <w:rFonts w:ascii="Times New Roman" w:hAnsi="Times New Roman" w:cs="Times New Roman"/>
          <w:sz w:val="24"/>
          <w:szCs w:val="24"/>
        </w:rPr>
        <w:t>The RSPO claim commenced in 2014 and eventually included allegations</w:t>
      </w:r>
      <w:r w:rsidR="00BF5B07" w:rsidRPr="00E07B7E">
        <w:rPr>
          <w:rFonts w:ascii="Times New Roman" w:hAnsi="Times New Roman" w:cs="Times New Roman"/>
          <w:sz w:val="24"/>
          <w:szCs w:val="24"/>
        </w:rPr>
        <w:t xml:space="preserve"> that the claimants had been c</w:t>
      </w:r>
      <w:r w:rsidR="00294299" w:rsidRPr="00E07B7E">
        <w:rPr>
          <w:rFonts w:ascii="Times New Roman" w:hAnsi="Times New Roman" w:cs="Times New Roman"/>
          <w:sz w:val="24"/>
          <w:szCs w:val="24"/>
        </w:rPr>
        <w:t>harged</w:t>
      </w:r>
      <w:r w:rsidR="00BF5B07" w:rsidRPr="00E07B7E">
        <w:rPr>
          <w:rFonts w:ascii="Times New Roman" w:hAnsi="Times New Roman" w:cs="Times New Roman"/>
          <w:sz w:val="24"/>
          <w:szCs w:val="24"/>
        </w:rPr>
        <w:t xml:space="preserve">, </w:t>
      </w:r>
      <w:proofErr w:type="gramStart"/>
      <w:r w:rsidR="00BF5B07" w:rsidRPr="00E07B7E">
        <w:rPr>
          <w:rFonts w:ascii="Times New Roman" w:hAnsi="Times New Roman" w:cs="Times New Roman"/>
          <w:sz w:val="24"/>
          <w:szCs w:val="24"/>
        </w:rPr>
        <w:t>arrested</w:t>
      </w:r>
      <w:proofErr w:type="gramEnd"/>
      <w:r w:rsidR="00BF5B07" w:rsidRPr="00E07B7E">
        <w:rPr>
          <w:rFonts w:ascii="Times New Roman" w:hAnsi="Times New Roman" w:cs="Times New Roman"/>
          <w:sz w:val="24"/>
          <w:szCs w:val="24"/>
        </w:rPr>
        <w:t xml:space="preserve"> and pressured by police to drop the RSPO claim. These </w:t>
      </w:r>
      <w:r w:rsidR="00294299" w:rsidRPr="00E07B7E">
        <w:rPr>
          <w:rFonts w:ascii="Times New Roman" w:hAnsi="Times New Roman" w:cs="Times New Roman"/>
          <w:sz w:val="24"/>
          <w:szCs w:val="24"/>
        </w:rPr>
        <w:t xml:space="preserve">criminalization </w:t>
      </w:r>
      <w:r w:rsidR="00BF5B07" w:rsidRPr="00E07B7E">
        <w:rPr>
          <w:rFonts w:ascii="Times New Roman" w:hAnsi="Times New Roman" w:cs="Times New Roman"/>
          <w:sz w:val="24"/>
          <w:szCs w:val="24"/>
        </w:rPr>
        <w:t xml:space="preserve">claims have not been </w:t>
      </w:r>
      <w:r w:rsidR="00B51B76" w:rsidRPr="00E07B7E">
        <w:rPr>
          <w:rFonts w:ascii="Times New Roman" w:hAnsi="Times New Roman" w:cs="Times New Roman"/>
          <w:sz w:val="24"/>
          <w:szCs w:val="24"/>
        </w:rPr>
        <w:t>ruled on</w:t>
      </w:r>
      <w:r w:rsidR="00BF5B07" w:rsidRPr="00E07B7E">
        <w:rPr>
          <w:rFonts w:ascii="Times New Roman" w:hAnsi="Times New Roman" w:cs="Times New Roman"/>
          <w:sz w:val="24"/>
          <w:szCs w:val="24"/>
        </w:rPr>
        <w:t xml:space="preserve"> </w:t>
      </w:r>
      <w:r w:rsidR="00294299" w:rsidRPr="00E07B7E">
        <w:rPr>
          <w:rFonts w:ascii="Times New Roman" w:hAnsi="Times New Roman" w:cs="Times New Roman"/>
          <w:sz w:val="24"/>
          <w:szCs w:val="24"/>
        </w:rPr>
        <w:t xml:space="preserve">by the </w:t>
      </w:r>
      <w:r w:rsidR="00BF5B07" w:rsidRPr="00E07B7E">
        <w:rPr>
          <w:rFonts w:ascii="Times New Roman" w:hAnsi="Times New Roman" w:cs="Times New Roman"/>
          <w:sz w:val="24"/>
          <w:szCs w:val="24"/>
        </w:rPr>
        <w:t xml:space="preserve">RSPO. </w:t>
      </w:r>
      <w:r w:rsidR="00294299" w:rsidRPr="00E07B7E">
        <w:rPr>
          <w:rFonts w:ascii="Times New Roman" w:hAnsi="Times New Roman" w:cs="Times New Roman"/>
          <w:sz w:val="24"/>
          <w:szCs w:val="24"/>
        </w:rPr>
        <w:t>On the land issues, t</w:t>
      </w:r>
      <w:r w:rsidR="00606765" w:rsidRPr="00E07B7E">
        <w:rPr>
          <w:rFonts w:ascii="Times New Roman" w:hAnsi="Times New Roman" w:cs="Times New Roman"/>
          <w:sz w:val="24"/>
          <w:szCs w:val="24"/>
        </w:rPr>
        <w:t xml:space="preserve">he RSPO </w:t>
      </w:r>
      <w:r w:rsidR="00B86A56">
        <w:rPr>
          <w:rFonts w:ascii="Times New Roman" w:hAnsi="Times New Roman" w:cs="Times New Roman"/>
          <w:sz w:val="24"/>
          <w:szCs w:val="24"/>
        </w:rPr>
        <w:t>C</w:t>
      </w:r>
      <w:r w:rsidR="00606765" w:rsidRPr="00E07B7E">
        <w:rPr>
          <w:rFonts w:ascii="Times New Roman" w:hAnsi="Times New Roman" w:cs="Times New Roman"/>
          <w:sz w:val="24"/>
          <w:szCs w:val="24"/>
        </w:rPr>
        <w:t xml:space="preserve">omplaint </w:t>
      </w:r>
      <w:r w:rsidR="00B86A56">
        <w:rPr>
          <w:rFonts w:ascii="Times New Roman" w:hAnsi="Times New Roman" w:cs="Times New Roman"/>
          <w:sz w:val="24"/>
          <w:szCs w:val="24"/>
        </w:rPr>
        <w:t>P</w:t>
      </w:r>
      <w:r w:rsidR="00606765" w:rsidRPr="00E07B7E">
        <w:rPr>
          <w:rFonts w:ascii="Times New Roman" w:hAnsi="Times New Roman" w:cs="Times New Roman"/>
          <w:sz w:val="24"/>
          <w:szCs w:val="24"/>
        </w:rPr>
        <w:t xml:space="preserve">anel ruled in favor of the community and </w:t>
      </w:r>
      <w:r w:rsidR="00FB2E38" w:rsidRPr="00E07B7E">
        <w:rPr>
          <w:rFonts w:ascii="Times New Roman" w:hAnsi="Times New Roman" w:cs="Times New Roman"/>
          <w:sz w:val="24"/>
          <w:szCs w:val="24"/>
        </w:rPr>
        <w:t xml:space="preserve">ordered </w:t>
      </w:r>
      <w:r w:rsidR="00BF5B07" w:rsidRPr="00E07B7E">
        <w:rPr>
          <w:rFonts w:ascii="Times New Roman" w:hAnsi="Times New Roman" w:cs="Times New Roman"/>
          <w:sz w:val="24"/>
          <w:szCs w:val="24"/>
        </w:rPr>
        <w:t>the company</w:t>
      </w:r>
      <w:r w:rsidR="00606765" w:rsidRPr="00E07B7E">
        <w:rPr>
          <w:rFonts w:ascii="Times New Roman" w:hAnsi="Times New Roman" w:cs="Times New Roman"/>
          <w:sz w:val="24"/>
          <w:szCs w:val="24"/>
        </w:rPr>
        <w:t xml:space="preserve"> to</w:t>
      </w:r>
      <w:r w:rsidR="00FB2E38" w:rsidRPr="00E07B7E">
        <w:rPr>
          <w:rFonts w:ascii="Times New Roman" w:hAnsi="Times New Roman" w:cs="Times New Roman"/>
          <w:sz w:val="24"/>
          <w:szCs w:val="24"/>
        </w:rPr>
        <w:t xml:space="preserve"> cooperate in </w:t>
      </w:r>
      <w:r w:rsidR="00606765" w:rsidRPr="00E07B7E">
        <w:rPr>
          <w:rFonts w:ascii="Times New Roman" w:hAnsi="Times New Roman" w:cs="Times New Roman"/>
          <w:sz w:val="24"/>
          <w:szCs w:val="24"/>
        </w:rPr>
        <w:t xml:space="preserve">formally turning over land </w:t>
      </w:r>
      <w:r w:rsidR="00606765" w:rsidRPr="00E07B7E">
        <w:rPr>
          <w:rFonts w:ascii="Times New Roman" w:hAnsi="Times New Roman" w:cs="Times New Roman"/>
          <w:sz w:val="24"/>
          <w:szCs w:val="24"/>
        </w:rPr>
        <w:lastRenderedPageBreak/>
        <w:t xml:space="preserve">rights to the community </w:t>
      </w:r>
      <w:r w:rsidR="00BF5B07" w:rsidRPr="00E07B7E">
        <w:rPr>
          <w:rFonts w:ascii="Times New Roman" w:hAnsi="Times New Roman" w:cs="Times New Roman"/>
          <w:sz w:val="24"/>
          <w:szCs w:val="24"/>
        </w:rPr>
        <w:t>through</w:t>
      </w:r>
      <w:r w:rsidR="00606765" w:rsidRPr="00E07B7E">
        <w:rPr>
          <w:rFonts w:ascii="Times New Roman" w:hAnsi="Times New Roman" w:cs="Times New Roman"/>
          <w:sz w:val="24"/>
          <w:szCs w:val="24"/>
        </w:rPr>
        <w:t xml:space="preserve"> a government land agency</w:t>
      </w:r>
      <w:r w:rsidR="00BF5B07" w:rsidRPr="00E07B7E">
        <w:rPr>
          <w:rFonts w:ascii="Times New Roman" w:hAnsi="Times New Roman" w:cs="Times New Roman"/>
          <w:sz w:val="24"/>
          <w:szCs w:val="24"/>
        </w:rPr>
        <w:t xml:space="preserve"> and to reach agreement with the community regarding a </w:t>
      </w:r>
      <w:r w:rsidR="00294299" w:rsidRPr="00E07B7E">
        <w:rPr>
          <w:rFonts w:ascii="Times New Roman" w:hAnsi="Times New Roman" w:cs="Times New Roman"/>
          <w:sz w:val="24"/>
          <w:szCs w:val="24"/>
        </w:rPr>
        <w:t xml:space="preserve">full </w:t>
      </w:r>
      <w:r w:rsidR="00BF5B07" w:rsidRPr="00E07B7E">
        <w:rPr>
          <w:rFonts w:ascii="Times New Roman" w:hAnsi="Times New Roman" w:cs="Times New Roman"/>
          <w:sz w:val="24"/>
          <w:szCs w:val="24"/>
        </w:rPr>
        <w:t>remedy</w:t>
      </w:r>
      <w:r w:rsidR="00606765" w:rsidRPr="00E07B7E">
        <w:rPr>
          <w:rFonts w:ascii="Times New Roman" w:hAnsi="Times New Roman" w:cs="Times New Roman"/>
          <w:sz w:val="24"/>
          <w:szCs w:val="24"/>
        </w:rPr>
        <w:t xml:space="preserve">. </w:t>
      </w:r>
      <w:r w:rsidR="00951EF0" w:rsidRPr="00E07B7E">
        <w:rPr>
          <w:rFonts w:ascii="Times New Roman" w:hAnsi="Times New Roman" w:cs="Times New Roman"/>
          <w:sz w:val="24"/>
          <w:szCs w:val="24"/>
        </w:rPr>
        <w:t>The respondent company appealed the ruling</w:t>
      </w:r>
      <w:r w:rsidR="00294299" w:rsidRPr="00E07B7E">
        <w:rPr>
          <w:rFonts w:ascii="Times New Roman" w:hAnsi="Times New Roman" w:cs="Times New Roman"/>
          <w:sz w:val="24"/>
          <w:szCs w:val="24"/>
        </w:rPr>
        <w:t>,</w:t>
      </w:r>
      <w:r w:rsidR="00951EF0" w:rsidRPr="00E07B7E">
        <w:rPr>
          <w:rFonts w:ascii="Times New Roman" w:hAnsi="Times New Roman" w:cs="Times New Roman"/>
          <w:sz w:val="24"/>
          <w:szCs w:val="24"/>
        </w:rPr>
        <w:t xml:space="preserve"> then withdrew the appeal in 2017. The company was ordered to</w:t>
      </w:r>
      <w:r w:rsidR="00B51B76" w:rsidRPr="00E07B7E">
        <w:rPr>
          <w:rFonts w:ascii="Times New Roman" w:hAnsi="Times New Roman" w:cs="Times New Roman"/>
          <w:sz w:val="24"/>
          <w:szCs w:val="24"/>
        </w:rPr>
        <w:t>,</w:t>
      </w:r>
      <w:r w:rsidR="00951EF0" w:rsidRPr="00E07B7E">
        <w:rPr>
          <w:rFonts w:ascii="Times New Roman" w:hAnsi="Times New Roman" w:cs="Times New Roman"/>
          <w:sz w:val="24"/>
          <w:szCs w:val="24"/>
        </w:rPr>
        <w:t xml:space="preserve"> and did</w:t>
      </w:r>
      <w:r w:rsidR="00B51B76" w:rsidRPr="00E07B7E">
        <w:rPr>
          <w:rFonts w:ascii="Times New Roman" w:hAnsi="Times New Roman" w:cs="Times New Roman"/>
          <w:sz w:val="24"/>
          <w:szCs w:val="24"/>
        </w:rPr>
        <w:t>,</w:t>
      </w:r>
      <w:r w:rsidR="00951EF0" w:rsidRPr="00E07B7E">
        <w:rPr>
          <w:rFonts w:ascii="Times New Roman" w:hAnsi="Times New Roman" w:cs="Times New Roman"/>
          <w:sz w:val="24"/>
          <w:szCs w:val="24"/>
        </w:rPr>
        <w:t xml:space="preserve"> submit a Letter of Non-Reprisal promising not to “employ any act of harassment or intimidation” to the claimants</w:t>
      </w:r>
      <w:r w:rsidR="00294299" w:rsidRPr="00E07B7E">
        <w:rPr>
          <w:rFonts w:ascii="Times New Roman" w:hAnsi="Times New Roman" w:cs="Times New Roman"/>
          <w:sz w:val="24"/>
          <w:szCs w:val="24"/>
        </w:rPr>
        <w:t>.</w:t>
      </w:r>
      <w:r w:rsidR="00951EF0" w:rsidRPr="00E07B7E">
        <w:rPr>
          <w:rStyle w:val="FootnoteReference"/>
          <w:rFonts w:ascii="Times New Roman" w:hAnsi="Times New Roman" w:cs="Times New Roman"/>
          <w:sz w:val="24"/>
          <w:szCs w:val="24"/>
        </w:rPr>
        <w:footnoteReference w:id="77"/>
      </w:r>
      <w:r w:rsidR="00951EF0" w:rsidRPr="00E07B7E">
        <w:rPr>
          <w:rFonts w:ascii="Times New Roman" w:hAnsi="Times New Roman" w:cs="Times New Roman"/>
          <w:sz w:val="24"/>
          <w:szCs w:val="24"/>
        </w:rPr>
        <w:t xml:space="preserve"> More than t</w:t>
      </w:r>
      <w:r w:rsidR="00FB2E38" w:rsidRPr="00E07B7E">
        <w:rPr>
          <w:rFonts w:ascii="Times New Roman" w:hAnsi="Times New Roman" w:cs="Times New Roman"/>
          <w:sz w:val="24"/>
          <w:szCs w:val="24"/>
        </w:rPr>
        <w:t xml:space="preserve">wo years after the </w:t>
      </w:r>
      <w:r w:rsidR="00951EF0" w:rsidRPr="00E07B7E">
        <w:rPr>
          <w:rFonts w:ascii="Times New Roman" w:hAnsi="Times New Roman" w:cs="Times New Roman"/>
          <w:sz w:val="24"/>
          <w:szCs w:val="24"/>
        </w:rPr>
        <w:t>withdrawal of the appeal</w:t>
      </w:r>
      <w:r w:rsidR="00FB2E38" w:rsidRPr="00E07B7E">
        <w:rPr>
          <w:rFonts w:ascii="Times New Roman" w:hAnsi="Times New Roman" w:cs="Times New Roman"/>
          <w:sz w:val="24"/>
          <w:szCs w:val="24"/>
        </w:rPr>
        <w:t xml:space="preserve">, </w:t>
      </w:r>
      <w:r w:rsidR="00951EF0" w:rsidRPr="00E07B7E">
        <w:rPr>
          <w:rFonts w:ascii="Times New Roman" w:hAnsi="Times New Roman" w:cs="Times New Roman"/>
          <w:sz w:val="24"/>
          <w:szCs w:val="24"/>
        </w:rPr>
        <w:t>RSPO has facilitated meeting</w:t>
      </w:r>
      <w:r w:rsidR="0059679C" w:rsidRPr="00E07B7E">
        <w:rPr>
          <w:rFonts w:ascii="Times New Roman" w:hAnsi="Times New Roman" w:cs="Times New Roman"/>
          <w:sz w:val="24"/>
          <w:szCs w:val="24"/>
        </w:rPr>
        <w:t>s</w:t>
      </w:r>
      <w:r w:rsidR="00951EF0" w:rsidRPr="00E07B7E">
        <w:rPr>
          <w:rFonts w:ascii="Times New Roman" w:hAnsi="Times New Roman" w:cs="Times New Roman"/>
          <w:sz w:val="24"/>
          <w:szCs w:val="24"/>
        </w:rPr>
        <w:t xml:space="preserve"> between the parties but no agreement has been reached</w:t>
      </w:r>
      <w:r w:rsidR="00294299" w:rsidRPr="00E07B7E">
        <w:rPr>
          <w:rFonts w:ascii="Times New Roman" w:hAnsi="Times New Roman" w:cs="Times New Roman"/>
          <w:sz w:val="24"/>
          <w:szCs w:val="24"/>
        </w:rPr>
        <w:t>,</w:t>
      </w:r>
      <w:r w:rsidR="00951EF0" w:rsidRPr="00E07B7E">
        <w:rPr>
          <w:rFonts w:ascii="Times New Roman" w:hAnsi="Times New Roman" w:cs="Times New Roman"/>
          <w:sz w:val="24"/>
          <w:szCs w:val="24"/>
        </w:rPr>
        <w:t xml:space="preserve"> </w:t>
      </w:r>
      <w:r w:rsidR="00606765" w:rsidRPr="00E07B7E">
        <w:rPr>
          <w:rFonts w:ascii="Times New Roman" w:hAnsi="Times New Roman" w:cs="Times New Roman"/>
          <w:sz w:val="24"/>
          <w:szCs w:val="24"/>
        </w:rPr>
        <w:t xml:space="preserve">and </w:t>
      </w:r>
      <w:r w:rsidR="00FB2E38" w:rsidRPr="00E07B7E">
        <w:rPr>
          <w:rFonts w:ascii="Times New Roman" w:hAnsi="Times New Roman" w:cs="Times New Roman"/>
          <w:sz w:val="24"/>
          <w:szCs w:val="24"/>
        </w:rPr>
        <w:t xml:space="preserve">there is no evidence that progress has been </w:t>
      </w:r>
      <w:r w:rsidR="002E6A99">
        <w:rPr>
          <w:rFonts w:ascii="Times New Roman" w:hAnsi="Times New Roman" w:cs="Times New Roman"/>
          <w:sz w:val="24"/>
          <w:szCs w:val="24"/>
        </w:rPr>
        <w:t xml:space="preserve">made </w:t>
      </w:r>
      <w:r w:rsidR="00294299" w:rsidRPr="00E07B7E">
        <w:rPr>
          <w:rFonts w:ascii="Times New Roman" w:hAnsi="Times New Roman" w:cs="Times New Roman"/>
          <w:sz w:val="24"/>
          <w:szCs w:val="24"/>
        </w:rPr>
        <w:t>in reaching an agreed</w:t>
      </w:r>
      <w:r w:rsidR="00DE5D5D">
        <w:rPr>
          <w:rFonts w:ascii="Times New Roman" w:hAnsi="Times New Roman" w:cs="Times New Roman"/>
          <w:sz w:val="24"/>
          <w:szCs w:val="24"/>
        </w:rPr>
        <w:t xml:space="preserve"> </w:t>
      </w:r>
      <w:r w:rsidR="00173852">
        <w:rPr>
          <w:rFonts w:ascii="Times New Roman" w:hAnsi="Times New Roman" w:cs="Times New Roman"/>
          <w:sz w:val="24"/>
          <w:szCs w:val="24"/>
        </w:rPr>
        <w:t>conclusive</w:t>
      </w:r>
      <w:r w:rsidR="00294299" w:rsidRPr="00E07B7E">
        <w:rPr>
          <w:rFonts w:ascii="Times New Roman" w:hAnsi="Times New Roman" w:cs="Times New Roman"/>
          <w:sz w:val="24"/>
          <w:szCs w:val="24"/>
        </w:rPr>
        <w:t xml:space="preserve"> remedy.</w:t>
      </w:r>
      <w:r w:rsidR="00D94182" w:rsidRPr="00E07B7E">
        <w:rPr>
          <w:rStyle w:val="FootnoteReference"/>
          <w:rFonts w:ascii="Times New Roman" w:hAnsi="Times New Roman" w:cs="Times New Roman"/>
          <w:sz w:val="24"/>
          <w:szCs w:val="24"/>
        </w:rPr>
        <w:footnoteReference w:id="78"/>
      </w:r>
      <w:r w:rsidR="00A149E8" w:rsidRPr="00E07B7E">
        <w:rPr>
          <w:rFonts w:ascii="Times New Roman" w:hAnsi="Times New Roman" w:cs="Times New Roman"/>
          <w:sz w:val="24"/>
          <w:szCs w:val="24"/>
        </w:rPr>
        <w:t xml:space="preserve"> The company is still in possession of the disputed land. </w:t>
      </w:r>
    </w:p>
    <w:p w14:paraId="139BB02E" w14:textId="422B8BF2" w:rsidR="00FB2E38" w:rsidRPr="00E07B7E" w:rsidRDefault="00F11D90"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u w:val="single"/>
        </w:rPr>
        <w:t xml:space="preserve">Green Advocates on behalf of communities in Greenville, Butaw and </w:t>
      </w:r>
      <w:proofErr w:type="spellStart"/>
      <w:r w:rsidRPr="00E07B7E">
        <w:rPr>
          <w:rFonts w:ascii="Times New Roman" w:hAnsi="Times New Roman" w:cs="Times New Roman"/>
          <w:sz w:val="24"/>
          <w:szCs w:val="24"/>
          <w:u w:val="single"/>
        </w:rPr>
        <w:t>Kpanyan</w:t>
      </w:r>
      <w:proofErr w:type="spellEnd"/>
      <w:r w:rsidRPr="00E07B7E">
        <w:rPr>
          <w:rFonts w:ascii="Times New Roman" w:hAnsi="Times New Roman" w:cs="Times New Roman"/>
          <w:sz w:val="24"/>
          <w:szCs w:val="24"/>
          <w:u w:val="single"/>
        </w:rPr>
        <w:t xml:space="preserve"> et al. vs. </w:t>
      </w:r>
      <w:r w:rsidR="00FB2E38" w:rsidRPr="00E07B7E">
        <w:rPr>
          <w:rFonts w:ascii="Times New Roman" w:hAnsi="Times New Roman" w:cs="Times New Roman"/>
          <w:sz w:val="24"/>
          <w:szCs w:val="24"/>
          <w:u w:val="single"/>
        </w:rPr>
        <w:t xml:space="preserve">Golden Veroleum </w:t>
      </w:r>
      <w:r w:rsidRPr="00E07B7E">
        <w:rPr>
          <w:rFonts w:ascii="Times New Roman" w:hAnsi="Times New Roman" w:cs="Times New Roman"/>
          <w:sz w:val="24"/>
          <w:szCs w:val="24"/>
          <w:u w:val="single"/>
        </w:rPr>
        <w:t>(</w:t>
      </w:r>
      <w:r w:rsidR="00FB2E38" w:rsidRPr="00E07B7E">
        <w:rPr>
          <w:rFonts w:ascii="Times New Roman" w:hAnsi="Times New Roman" w:cs="Times New Roman"/>
          <w:sz w:val="24"/>
          <w:szCs w:val="24"/>
          <w:u w:val="single"/>
        </w:rPr>
        <w:t>Liberia</w:t>
      </w:r>
      <w:r w:rsidRPr="00E07B7E">
        <w:rPr>
          <w:rFonts w:ascii="Times New Roman" w:hAnsi="Times New Roman" w:cs="Times New Roman"/>
          <w:sz w:val="24"/>
          <w:szCs w:val="24"/>
          <w:u w:val="single"/>
        </w:rPr>
        <w:t>) (a subsidiary of Golden Agri Resources Ltd.)</w:t>
      </w:r>
      <w:r w:rsidR="00294299" w:rsidRPr="00E07B7E">
        <w:rPr>
          <w:rFonts w:ascii="Times New Roman" w:hAnsi="Times New Roman" w:cs="Times New Roman"/>
          <w:sz w:val="24"/>
          <w:szCs w:val="24"/>
          <w:u w:val="single"/>
        </w:rPr>
        <w:t>.</w:t>
      </w:r>
      <w:r w:rsidR="00B6746E" w:rsidRPr="00E07B7E">
        <w:rPr>
          <w:rStyle w:val="FootnoteReference"/>
          <w:rFonts w:ascii="Times New Roman" w:hAnsi="Times New Roman" w:cs="Times New Roman"/>
          <w:sz w:val="24"/>
          <w:szCs w:val="24"/>
        </w:rPr>
        <w:footnoteReference w:id="79"/>
      </w:r>
      <w:r w:rsidR="00FB2E38" w:rsidRPr="00E07B7E">
        <w:rPr>
          <w:rFonts w:ascii="Times New Roman" w:hAnsi="Times New Roman" w:cs="Times New Roman"/>
          <w:sz w:val="24"/>
          <w:szCs w:val="24"/>
        </w:rPr>
        <w:t xml:space="preserve"> This is a particularly complex case involving many communities in </w:t>
      </w:r>
      <w:r w:rsidR="00546966" w:rsidRPr="00E07B7E">
        <w:rPr>
          <w:rFonts w:ascii="Times New Roman" w:hAnsi="Times New Roman" w:cs="Times New Roman"/>
          <w:sz w:val="24"/>
          <w:szCs w:val="24"/>
        </w:rPr>
        <w:t xml:space="preserve">central </w:t>
      </w:r>
      <w:r w:rsidR="00FB2E38" w:rsidRPr="00E07B7E">
        <w:rPr>
          <w:rFonts w:ascii="Times New Roman" w:hAnsi="Times New Roman" w:cs="Times New Roman"/>
          <w:sz w:val="24"/>
          <w:szCs w:val="24"/>
        </w:rPr>
        <w:t>Liberia</w:t>
      </w:r>
      <w:r w:rsidR="00951EF0" w:rsidRPr="00E07B7E">
        <w:rPr>
          <w:rFonts w:ascii="Times New Roman" w:hAnsi="Times New Roman" w:cs="Times New Roman"/>
          <w:sz w:val="24"/>
          <w:szCs w:val="24"/>
        </w:rPr>
        <w:t xml:space="preserve"> against a subsidiary of the world’s fifth largest palm oil producer</w:t>
      </w:r>
      <w:r w:rsidR="00606765" w:rsidRPr="00E07B7E">
        <w:rPr>
          <w:rFonts w:ascii="Times New Roman" w:hAnsi="Times New Roman" w:cs="Times New Roman"/>
          <w:sz w:val="24"/>
          <w:szCs w:val="24"/>
        </w:rPr>
        <w:t>. The claim</w:t>
      </w:r>
      <w:r w:rsidR="0070508C" w:rsidRPr="00E07B7E">
        <w:rPr>
          <w:rFonts w:ascii="Times New Roman" w:hAnsi="Times New Roman" w:cs="Times New Roman"/>
          <w:sz w:val="24"/>
          <w:szCs w:val="24"/>
        </w:rPr>
        <w:t xml:space="preserve"> was filed in 2012 and</w:t>
      </w:r>
      <w:r w:rsidR="00606765" w:rsidRPr="00E07B7E">
        <w:rPr>
          <w:rFonts w:ascii="Times New Roman" w:hAnsi="Times New Roman" w:cs="Times New Roman"/>
          <w:sz w:val="24"/>
          <w:szCs w:val="24"/>
        </w:rPr>
        <w:t xml:space="preserve"> involved multiple issues including </w:t>
      </w:r>
      <w:r w:rsidR="0070508C" w:rsidRPr="00E07B7E">
        <w:rPr>
          <w:rFonts w:ascii="Times New Roman" w:hAnsi="Times New Roman" w:cs="Times New Roman"/>
          <w:sz w:val="24"/>
          <w:szCs w:val="24"/>
        </w:rPr>
        <w:t xml:space="preserve">the company’s failure to obtain community consent to expand onto </w:t>
      </w:r>
      <w:r w:rsidR="005819CF" w:rsidRPr="00E07B7E">
        <w:rPr>
          <w:rFonts w:ascii="Times New Roman" w:hAnsi="Times New Roman" w:cs="Times New Roman"/>
          <w:sz w:val="24"/>
          <w:szCs w:val="24"/>
        </w:rPr>
        <w:t>its</w:t>
      </w:r>
      <w:r w:rsidR="0070508C" w:rsidRPr="00E07B7E">
        <w:rPr>
          <w:rFonts w:ascii="Times New Roman" w:hAnsi="Times New Roman" w:cs="Times New Roman"/>
          <w:sz w:val="24"/>
          <w:szCs w:val="24"/>
        </w:rPr>
        <w:t xml:space="preserve"> land. RS</w:t>
      </w:r>
      <w:r w:rsidR="00BD2230" w:rsidRPr="00E07B7E">
        <w:rPr>
          <w:rFonts w:ascii="Times New Roman" w:hAnsi="Times New Roman" w:cs="Times New Roman"/>
          <w:sz w:val="24"/>
          <w:szCs w:val="24"/>
        </w:rPr>
        <w:t>P</w:t>
      </w:r>
      <w:r w:rsidR="0070508C" w:rsidRPr="00E07B7E">
        <w:rPr>
          <w:rFonts w:ascii="Times New Roman" w:hAnsi="Times New Roman" w:cs="Times New Roman"/>
          <w:sz w:val="24"/>
          <w:szCs w:val="24"/>
        </w:rPr>
        <w:t xml:space="preserve">O ruled in 2016 that community consent had not been obtained. </w:t>
      </w:r>
      <w:r w:rsidR="00FB2E38" w:rsidRPr="00E07B7E">
        <w:rPr>
          <w:rFonts w:ascii="Times New Roman" w:hAnsi="Times New Roman" w:cs="Times New Roman"/>
          <w:sz w:val="24"/>
          <w:szCs w:val="24"/>
        </w:rPr>
        <w:t xml:space="preserve">The company appealed, </w:t>
      </w:r>
      <w:r w:rsidR="0070508C" w:rsidRPr="00E07B7E">
        <w:rPr>
          <w:rFonts w:ascii="Times New Roman" w:hAnsi="Times New Roman" w:cs="Times New Roman"/>
          <w:sz w:val="24"/>
          <w:szCs w:val="24"/>
        </w:rPr>
        <w:t xml:space="preserve">and when it </w:t>
      </w:r>
      <w:r w:rsidR="00FB2E38" w:rsidRPr="00E07B7E">
        <w:rPr>
          <w:rFonts w:ascii="Times New Roman" w:hAnsi="Times New Roman" w:cs="Times New Roman"/>
          <w:sz w:val="24"/>
          <w:szCs w:val="24"/>
        </w:rPr>
        <w:t>lost</w:t>
      </w:r>
      <w:r w:rsidR="0070508C" w:rsidRPr="00E07B7E">
        <w:rPr>
          <w:rFonts w:ascii="Times New Roman" w:hAnsi="Times New Roman" w:cs="Times New Roman"/>
          <w:sz w:val="24"/>
          <w:szCs w:val="24"/>
        </w:rPr>
        <w:t xml:space="preserve"> the appeal in 2018</w:t>
      </w:r>
      <w:r w:rsidR="00FB2E38" w:rsidRPr="00E07B7E">
        <w:rPr>
          <w:rFonts w:ascii="Times New Roman" w:hAnsi="Times New Roman" w:cs="Times New Roman"/>
          <w:sz w:val="24"/>
          <w:szCs w:val="24"/>
        </w:rPr>
        <w:t xml:space="preserve">, </w:t>
      </w:r>
      <w:r w:rsidR="0070508C" w:rsidRPr="00E07B7E">
        <w:rPr>
          <w:rFonts w:ascii="Times New Roman" w:hAnsi="Times New Roman" w:cs="Times New Roman"/>
          <w:sz w:val="24"/>
          <w:szCs w:val="24"/>
        </w:rPr>
        <w:t xml:space="preserve">publicly announced </w:t>
      </w:r>
      <w:r w:rsidR="00FB2E38" w:rsidRPr="00E07B7E">
        <w:rPr>
          <w:rFonts w:ascii="Times New Roman" w:hAnsi="Times New Roman" w:cs="Times New Roman"/>
          <w:sz w:val="24"/>
          <w:szCs w:val="24"/>
        </w:rPr>
        <w:t xml:space="preserve">that it was leaving RSPO.  Two years later, it is still listed as a member and is actively engaging with the RSPO Complaint Panel on the claim.  The company states that it stopped all clearing of new land since the RSPO </w:t>
      </w:r>
      <w:r w:rsidR="0070508C" w:rsidRPr="00E07B7E">
        <w:rPr>
          <w:rFonts w:ascii="Times New Roman" w:hAnsi="Times New Roman" w:cs="Times New Roman"/>
          <w:sz w:val="24"/>
          <w:szCs w:val="24"/>
        </w:rPr>
        <w:t>r</w:t>
      </w:r>
      <w:r w:rsidR="00FB2E38" w:rsidRPr="00E07B7E">
        <w:rPr>
          <w:rFonts w:ascii="Times New Roman" w:hAnsi="Times New Roman" w:cs="Times New Roman"/>
          <w:sz w:val="24"/>
          <w:szCs w:val="24"/>
        </w:rPr>
        <w:t>uling, although it complete</w:t>
      </w:r>
      <w:r w:rsidR="0070508C" w:rsidRPr="00E07B7E">
        <w:rPr>
          <w:rFonts w:ascii="Times New Roman" w:hAnsi="Times New Roman" w:cs="Times New Roman"/>
          <w:sz w:val="24"/>
          <w:szCs w:val="24"/>
        </w:rPr>
        <w:t>d</w:t>
      </w:r>
      <w:r w:rsidR="00FB2E38" w:rsidRPr="00E07B7E">
        <w:rPr>
          <w:rFonts w:ascii="Times New Roman" w:hAnsi="Times New Roman" w:cs="Times New Roman"/>
          <w:sz w:val="24"/>
          <w:szCs w:val="24"/>
        </w:rPr>
        <w:t xml:space="preserve"> work, including planting and construction of a mill, on land that had been cleared prior to ruling.</w:t>
      </w:r>
      <w:r w:rsidR="00D94182" w:rsidRPr="00E07B7E">
        <w:rPr>
          <w:rStyle w:val="FootnoteReference"/>
          <w:rFonts w:ascii="Times New Roman" w:hAnsi="Times New Roman" w:cs="Times New Roman"/>
          <w:sz w:val="24"/>
          <w:szCs w:val="24"/>
        </w:rPr>
        <w:footnoteReference w:id="80"/>
      </w:r>
      <w:r w:rsidR="00FB2E38" w:rsidRPr="00E07B7E">
        <w:rPr>
          <w:rFonts w:ascii="Times New Roman" w:hAnsi="Times New Roman" w:cs="Times New Roman"/>
          <w:sz w:val="24"/>
          <w:szCs w:val="24"/>
        </w:rPr>
        <w:t xml:space="preserve">  </w:t>
      </w:r>
      <w:r w:rsidR="00BD2230" w:rsidRPr="00E07B7E">
        <w:rPr>
          <w:rFonts w:ascii="Times New Roman" w:hAnsi="Times New Roman" w:cs="Times New Roman"/>
          <w:sz w:val="24"/>
          <w:szCs w:val="24"/>
        </w:rPr>
        <w:t>The communities c</w:t>
      </w:r>
      <w:r w:rsidR="0044123B" w:rsidRPr="00E07B7E">
        <w:rPr>
          <w:rFonts w:ascii="Times New Roman" w:hAnsi="Times New Roman" w:cs="Times New Roman"/>
          <w:sz w:val="24"/>
          <w:szCs w:val="24"/>
        </w:rPr>
        <w:t>laim that the mill occupies a s</w:t>
      </w:r>
      <w:r w:rsidR="00BD2230" w:rsidRPr="00E07B7E">
        <w:rPr>
          <w:rFonts w:ascii="Times New Roman" w:hAnsi="Times New Roman" w:cs="Times New Roman"/>
          <w:sz w:val="24"/>
          <w:szCs w:val="24"/>
        </w:rPr>
        <w:t>a</w:t>
      </w:r>
      <w:r w:rsidR="0044123B" w:rsidRPr="00E07B7E">
        <w:rPr>
          <w:rFonts w:ascii="Times New Roman" w:hAnsi="Times New Roman" w:cs="Times New Roman"/>
          <w:sz w:val="24"/>
          <w:szCs w:val="24"/>
        </w:rPr>
        <w:t>c</w:t>
      </w:r>
      <w:r w:rsidR="00BD2230" w:rsidRPr="00E07B7E">
        <w:rPr>
          <w:rFonts w:ascii="Times New Roman" w:hAnsi="Times New Roman" w:cs="Times New Roman"/>
          <w:sz w:val="24"/>
          <w:szCs w:val="24"/>
        </w:rPr>
        <w:t>red site.</w:t>
      </w:r>
      <w:r w:rsidR="000C6CB1" w:rsidRPr="00E07B7E">
        <w:rPr>
          <w:rStyle w:val="FootnoteReference"/>
          <w:rFonts w:ascii="Times New Roman" w:hAnsi="Times New Roman" w:cs="Times New Roman"/>
          <w:sz w:val="24"/>
          <w:szCs w:val="24"/>
        </w:rPr>
        <w:footnoteReference w:id="81"/>
      </w:r>
      <w:r w:rsidR="00BD2230" w:rsidRPr="00E07B7E">
        <w:rPr>
          <w:rFonts w:ascii="Times New Roman" w:hAnsi="Times New Roman" w:cs="Times New Roman"/>
          <w:sz w:val="24"/>
          <w:szCs w:val="24"/>
        </w:rPr>
        <w:t xml:space="preserve"> </w:t>
      </w:r>
      <w:r w:rsidR="0070508C" w:rsidRPr="00E07B7E">
        <w:rPr>
          <w:rFonts w:ascii="Times New Roman" w:hAnsi="Times New Roman" w:cs="Times New Roman"/>
          <w:sz w:val="24"/>
          <w:szCs w:val="24"/>
        </w:rPr>
        <w:t xml:space="preserve">There have been </w:t>
      </w:r>
      <w:r w:rsidR="00B6746E" w:rsidRPr="00E07B7E">
        <w:rPr>
          <w:rFonts w:ascii="Times New Roman" w:hAnsi="Times New Roman" w:cs="Times New Roman"/>
          <w:sz w:val="24"/>
          <w:szCs w:val="24"/>
        </w:rPr>
        <w:t>violent</w:t>
      </w:r>
      <w:r w:rsidR="0070508C" w:rsidRPr="00E07B7E">
        <w:rPr>
          <w:rFonts w:ascii="Times New Roman" w:hAnsi="Times New Roman" w:cs="Times New Roman"/>
          <w:sz w:val="24"/>
          <w:szCs w:val="24"/>
        </w:rPr>
        <w:t xml:space="preserve"> protests </w:t>
      </w:r>
      <w:r w:rsidR="00BD2230" w:rsidRPr="00E07B7E">
        <w:rPr>
          <w:rFonts w:ascii="Times New Roman" w:hAnsi="Times New Roman" w:cs="Times New Roman"/>
          <w:sz w:val="24"/>
          <w:szCs w:val="24"/>
        </w:rPr>
        <w:t xml:space="preserve">involving </w:t>
      </w:r>
      <w:r w:rsidR="0070508C" w:rsidRPr="00E07B7E">
        <w:rPr>
          <w:rFonts w:ascii="Times New Roman" w:hAnsi="Times New Roman" w:cs="Times New Roman"/>
          <w:sz w:val="24"/>
          <w:szCs w:val="24"/>
        </w:rPr>
        <w:t xml:space="preserve">these </w:t>
      </w:r>
      <w:r w:rsidR="00BD2230" w:rsidRPr="00E07B7E">
        <w:rPr>
          <w:rFonts w:ascii="Times New Roman" w:hAnsi="Times New Roman" w:cs="Times New Roman"/>
          <w:sz w:val="24"/>
          <w:szCs w:val="24"/>
        </w:rPr>
        <w:t>parties</w:t>
      </w:r>
      <w:r w:rsidR="0070508C" w:rsidRPr="00E07B7E">
        <w:rPr>
          <w:rFonts w:ascii="Times New Roman" w:hAnsi="Times New Roman" w:cs="Times New Roman"/>
          <w:sz w:val="24"/>
          <w:szCs w:val="24"/>
        </w:rPr>
        <w:t xml:space="preserve"> </w:t>
      </w:r>
      <w:r w:rsidR="00BD2230" w:rsidRPr="00E07B7E">
        <w:rPr>
          <w:rFonts w:ascii="Times New Roman" w:hAnsi="Times New Roman" w:cs="Times New Roman"/>
          <w:sz w:val="24"/>
          <w:szCs w:val="24"/>
        </w:rPr>
        <w:t xml:space="preserve">in the past </w:t>
      </w:r>
      <w:r w:rsidR="0070508C" w:rsidRPr="00E07B7E">
        <w:rPr>
          <w:rFonts w:ascii="Times New Roman" w:hAnsi="Times New Roman" w:cs="Times New Roman"/>
          <w:sz w:val="24"/>
          <w:szCs w:val="24"/>
        </w:rPr>
        <w:t xml:space="preserve">and </w:t>
      </w:r>
      <w:r w:rsidR="000C6CB1" w:rsidRPr="00E07B7E">
        <w:rPr>
          <w:rFonts w:ascii="Times New Roman" w:hAnsi="Times New Roman" w:cs="Times New Roman"/>
          <w:sz w:val="24"/>
          <w:szCs w:val="24"/>
        </w:rPr>
        <w:t xml:space="preserve">at </w:t>
      </w:r>
      <w:r w:rsidR="00B6746E" w:rsidRPr="00E07B7E">
        <w:rPr>
          <w:rFonts w:ascii="Times New Roman" w:hAnsi="Times New Roman" w:cs="Times New Roman"/>
          <w:sz w:val="24"/>
          <w:szCs w:val="24"/>
        </w:rPr>
        <w:t>present</w:t>
      </w:r>
      <w:r w:rsidR="00546966" w:rsidRPr="00E07B7E">
        <w:rPr>
          <w:rFonts w:ascii="Times New Roman" w:hAnsi="Times New Roman" w:cs="Times New Roman"/>
          <w:sz w:val="24"/>
          <w:szCs w:val="24"/>
        </w:rPr>
        <w:t xml:space="preserve"> the affected communities </w:t>
      </w:r>
      <w:r w:rsidR="000C6CB1" w:rsidRPr="00E07B7E">
        <w:rPr>
          <w:rFonts w:ascii="Times New Roman" w:hAnsi="Times New Roman" w:cs="Times New Roman"/>
          <w:sz w:val="24"/>
          <w:szCs w:val="24"/>
        </w:rPr>
        <w:t xml:space="preserve">are </w:t>
      </w:r>
      <w:r w:rsidR="0070508C" w:rsidRPr="00E07B7E">
        <w:rPr>
          <w:rFonts w:ascii="Times New Roman" w:hAnsi="Times New Roman" w:cs="Times New Roman"/>
          <w:sz w:val="24"/>
          <w:szCs w:val="24"/>
        </w:rPr>
        <w:lastRenderedPageBreak/>
        <w:t>uncertain and frustrat</w:t>
      </w:r>
      <w:r w:rsidR="000C6CB1" w:rsidRPr="00E07B7E">
        <w:rPr>
          <w:rFonts w:ascii="Times New Roman" w:hAnsi="Times New Roman" w:cs="Times New Roman"/>
          <w:sz w:val="24"/>
          <w:szCs w:val="24"/>
        </w:rPr>
        <w:t>ed</w:t>
      </w:r>
      <w:r w:rsidR="0070508C" w:rsidRPr="00E07B7E">
        <w:rPr>
          <w:rFonts w:ascii="Times New Roman" w:hAnsi="Times New Roman" w:cs="Times New Roman"/>
          <w:sz w:val="24"/>
          <w:szCs w:val="24"/>
        </w:rPr>
        <w:t xml:space="preserve"> as </w:t>
      </w:r>
      <w:r w:rsidR="005819CF" w:rsidRPr="00E07B7E">
        <w:rPr>
          <w:rFonts w:ascii="Times New Roman" w:hAnsi="Times New Roman" w:cs="Times New Roman"/>
          <w:sz w:val="24"/>
          <w:szCs w:val="24"/>
        </w:rPr>
        <w:t xml:space="preserve">to </w:t>
      </w:r>
      <w:r w:rsidR="0070508C" w:rsidRPr="00E07B7E">
        <w:rPr>
          <w:rFonts w:ascii="Times New Roman" w:hAnsi="Times New Roman" w:cs="Times New Roman"/>
          <w:sz w:val="24"/>
          <w:szCs w:val="24"/>
        </w:rPr>
        <w:t>how the land acquisition will be addressed and resolved.</w:t>
      </w:r>
      <w:r w:rsidR="000C6CB1" w:rsidRPr="00E07B7E">
        <w:rPr>
          <w:rStyle w:val="FootnoteReference"/>
          <w:rFonts w:ascii="Times New Roman" w:hAnsi="Times New Roman" w:cs="Times New Roman"/>
          <w:sz w:val="24"/>
          <w:szCs w:val="24"/>
        </w:rPr>
        <w:footnoteReference w:id="82"/>
      </w:r>
      <w:r w:rsidR="0070508C" w:rsidRPr="00E07B7E">
        <w:rPr>
          <w:rFonts w:ascii="Times New Roman" w:hAnsi="Times New Roman" w:cs="Times New Roman"/>
          <w:sz w:val="24"/>
          <w:szCs w:val="24"/>
        </w:rPr>
        <w:t xml:space="preserve"> The company has put in a new community relations team </w:t>
      </w:r>
      <w:r w:rsidR="00546966" w:rsidRPr="00E07B7E">
        <w:rPr>
          <w:rFonts w:ascii="Times New Roman" w:hAnsi="Times New Roman" w:cs="Times New Roman"/>
          <w:sz w:val="24"/>
          <w:szCs w:val="24"/>
        </w:rPr>
        <w:t xml:space="preserve">since the RSPO ruling </w:t>
      </w:r>
      <w:r w:rsidR="0070508C" w:rsidRPr="00E07B7E">
        <w:rPr>
          <w:rFonts w:ascii="Times New Roman" w:hAnsi="Times New Roman" w:cs="Times New Roman"/>
          <w:sz w:val="24"/>
          <w:szCs w:val="24"/>
        </w:rPr>
        <w:t xml:space="preserve">and </w:t>
      </w:r>
      <w:r w:rsidR="00B6746E" w:rsidRPr="00E07B7E">
        <w:rPr>
          <w:rFonts w:ascii="Times New Roman" w:hAnsi="Times New Roman" w:cs="Times New Roman"/>
          <w:sz w:val="24"/>
          <w:szCs w:val="24"/>
        </w:rPr>
        <w:t>states that it is committed to RSPO standards and community respect.</w:t>
      </w:r>
      <w:r w:rsidR="000C6CB1" w:rsidRPr="00E07B7E">
        <w:rPr>
          <w:rStyle w:val="FootnoteReference"/>
          <w:rFonts w:ascii="Times New Roman" w:hAnsi="Times New Roman" w:cs="Times New Roman"/>
          <w:sz w:val="24"/>
          <w:szCs w:val="24"/>
        </w:rPr>
        <w:footnoteReference w:id="83"/>
      </w:r>
      <w:r w:rsidR="00B6746E" w:rsidRPr="00E07B7E">
        <w:rPr>
          <w:rFonts w:ascii="Times New Roman" w:hAnsi="Times New Roman" w:cs="Times New Roman"/>
          <w:sz w:val="24"/>
          <w:szCs w:val="24"/>
        </w:rPr>
        <w:t xml:space="preserve"> The ultimate resolution of these issues is uncertain. </w:t>
      </w:r>
    </w:p>
    <w:p w14:paraId="5145D134" w14:textId="79AA543A" w:rsidR="00A456B5" w:rsidRPr="006A3B66" w:rsidRDefault="00A456B5" w:rsidP="001659DC">
      <w:pPr>
        <w:spacing w:line="360" w:lineRule="auto"/>
        <w:rPr>
          <w:rFonts w:ascii="Times New Roman" w:hAnsi="Times New Roman"/>
          <w:sz w:val="24"/>
        </w:rPr>
      </w:pPr>
      <w:r w:rsidRPr="00E07B7E">
        <w:rPr>
          <w:rFonts w:ascii="Times New Roman" w:hAnsi="Times New Roman" w:cs="Times New Roman"/>
          <w:sz w:val="24"/>
          <w:szCs w:val="24"/>
          <w:u w:val="single"/>
        </w:rPr>
        <w:t xml:space="preserve">Environmental Investigation Agency (“EIA”), </w:t>
      </w:r>
      <w:proofErr w:type="spellStart"/>
      <w:r w:rsidRPr="00E07B7E">
        <w:rPr>
          <w:rFonts w:ascii="Times New Roman" w:hAnsi="Times New Roman" w:cs="Times New Roman"/>
          <w:sz w:val="24"/>
          <w:szCs w:val="24"/>
          <w:u w:val="single"/>
        </w:rPr>
        <w:t>Aliansi</w:t>
      </w:r>
      <w:proofErr w:type="spellEnd"/>
      <w:r w:rsidRPr="00E07B7E">
        <w:rPr>
          <w:rFonts w:ascii="Times New Roman" w:hAnsi="Times New Roman" w:cs="Times New Roman"/>
          <w:sz w:val="24"/>
          <w:szCs w:val="24"/>
          <w:u w:val="single"/>
        </w:rPr>
        <w:t xml:space="preserve"> Masyarakat Adat Nusantara (AMAN) and the community of </w:t>
      </w:r>
      <w:bookmarkStart w:id="26" w:name="_Hlk34834142"/>
      <w:r w:rsidRPr="00E07B7E">
        <w:rPr>
          <w:rFonts w:ascii="Times New Roman" w:hAnsi="Times New Roman" w:cs="Times New Roman"/>
          <w:sz w:val="24"/>
          <w:szCs w:val="24"/>
          <w:u w:val="single"/>
        </w:rPr>
        <w:t xml:space="preserve">Muara Tae </w:t>
      </w:r>
      <w:bookmarkEnd w:id="26"/>
      <w:r w:rsidRPr="00E07B7E">
        <w:rPr>
          <w:rFonts w:ascii="Times New Roman" w:hAnsi="Times New Roman" w:cs="Times New Roman"/>
          <w:sz w:val="24"/>
          <w:szCs w:val="24"/>
          <w:u w:val="single"/>
        </w:rPr>
        <w:t>vs. PT Borneo Surya Mining Jaya (a subsidiary of First Resources Limited).</w:t>
      </w:r>
      <w:r w:rsidRPr="00E07B7E">
        <w:rPr>
          <w:rFonts w:ascii="Times New Roman" w:hAnsi="Times New Roman" w:cs="Times New Roman"/>
          <w:sz w:val="24"/>
          <w:szCs w:val="24"/>
          <w:vertAlign w:val="superscript"/>
        </w:rPr>
        <w:footnoteReference w:id="84"/>
      </w:r>
      <w:r w:rsidRPr="00E07B7E">
        <w:rPr>
          <w:rFonts w:ascii="Times New Roman" w:hAnsi="Times New Roman" w:cs="Times New Roman"/>
          <w:sz w:val="24"/>
          <w:szCs w:val="24"/>
        </w:rPr>
        <w:t xml:space="preserve"> This claim was filed in 2012 and alleges that First Resources, a multi-billion dollar palm oil corporation based in Singapore, had failed to get the free, prior and informed consent (“FPIC”) of a local community to include their land in its plantation. The Muara Tae is a traditional community in Kalimantan, the portion of the island of Borneo that is part of Indonesia. The RSPO Complaints Panel ordered the company to stop all expansion while the claim was being resolved. RSPO did an investigation that found multiple violations of RSPO principles, and validated the claim made by the Muara Tae regarding its land. RSPO ordered the company to obtain the Muara Tae’s FPIC. However, the boundaries of the community land need</w:t>
      </w:r>
      <w:r w:rsidR="000C6CB1" w:rsidRPr="00E07B7E">
        <w:rPr>
          <w:rFonts w:ascii="Times New Roman" w:hAnsi="Times New Roman" w:cs="Times New Roman"/>
          <w:sz w:val="24"/>
          <w:szCs w:val="24"/>
        </w:rPr>
        <w:t>ed</w:t>
      </w:r>
      <w:r w:rsidRPr="00E07B7E">
        <w:rPr>
          <w:rFonts w:ascii="Times New Roman" w:hAnsi="Times New Roman" w:cs="Times New Roman"/>
          <w:sz w:val="24"/>
          <w:szCs w:val="24"/>
        </w:rPr>
        <w:t xml:space="preserve"> to </w:t>
      </w:r>
      <w:r w:rsidR="000C6CB1" w:rsidRPr="00E07B7E">
        <w:rPr>
          <w:rFonts w:ascii="Times New Roman" w:hAnsi="Times New Roman" w:cs="Times New Roman"/>
          <w:sz w:val="24"/>
          <w:szCs w:val="24"/>
        </w:rPr>
        <w:t xml:space="preserve">be </w:t>
      </w:r>
      <w:r w:rsidRPr="00E07B7E">
        <w:rPr>
          <w:rFonts w:ascii="Times New Roman" w:hAnsi="Times New Roman" w:cs="Times New Roman"/>
          <w:sz w:val="24"/>
          <w:szCs w:val="24"/>
        </w:rPr>
        <w:t>agreed upon, and, until they were, the RSPO ordered the company not to expand its plantation onto 892 hectares of what it believed to be part of the approximately 4300 hectares of claimed community land. RSPO brought in a third-party facilitator to get the parties to agree on multiple unresolved issues. The Muara Tae strongly objected to the facilitator and relations broke down. The community refused to participate in the joint mapping of the disputed land and withdrew from the case.</w:t>
      </w:r>
      <w:r w:rsidR="000C6CB1" w:rsidRPr="00E07B7E">
        <w:rPr>
          <w:rStyle w:val="FootnoteReference"/>
          <w:rFonts w:ascii="Times New Roman" w:hAnsi="Times New Roman" w:cs="Times New Roman"/>
          <w:sz w:val="24"/>
          <w:szCs w:val="24"/>
        </w:rPr>
        <w:footnoteReference w:id="85"/>
      </w:r>
      <w:r w:rsidRPr="00E07B7E">
        <w:rPr>
          <w:rFonts w:ascii="Times New Roman" w:hAnsi="Times New Roman" w:cs="Times New Roman"/>
          <w:sz w:val="24"/>
          <w:szCs w:val="24"/>
        </w:rPr>
        <w:t xml:space="preserve"> EIA, an international NGO who was a claimant in the case, stated that “the decision of the community of Muara Tae to withdraw from the RSPO dispute resolution process . . .  was the result of the failure of the RSPO dispute resolution process to provide the </w:t>
      </w:r>
      <w:r w:rsidRPr="00E07B7E">
        <w:rPr>
          <w:rFonts w:ascii="Times New Roman" w:hAnsi="Times New Roman" w:cs="Times New Roman"/>
          <w:sz w:val="24"/>
          <w:szCs w:val="24"/>
        </w:rPr>
        <w:lastRenderedPageBreak/>
        <w:t>community with sufficient input into its design and conduct.”</w:t>
      </w:r>
      <w:r w:rsidRPr="00E07B7E">
        <w:rPr>
          <w:rFonts w:ascii="Times New Roman" w:hAnsi="Times New Roman" w:cs="Times New Roman"/>
          <w:sz w:val="24"/>
          <w:szCs w:val="24"/>
          <w:vertAlign w:val="superscript"/>
        </w:rPr>
        <w:footnoteReference w:id="86"/>
      </w:r>
      <w:r w:rsidRPr="00E07B7E">
        <w:rPr>
          <w:rFonts w:ascii="Times New Roman" w:hAnsi="Times New Roman" w:cs="Times New Roman"/>
          <w:sz w:val="24"/>
          <w:szCs w:val="24"/>
        </w:rPr>
        <w:t xml:space="preserve"> In 2015, the RSPO admitted that “the Complaints Panel cannot be effective in the absence of a genuine will by the parties to cooperate and work together towards mutually beneficial solutions.”</w:t>
      </w:r>
      <w:r w:rsidRPr="00E07B7E">
        <w:rPr>
          <w:rFonts w:ascii="Times New Roman" w:hAnsi="Times New Roman" w:cs="Times New Roman"/>
          <w:sz w:val="24"/>
          <w:szCs w:val="24"/>
          <w:vertAlign w:val="superscript"/>
        </w:rPr>
        <w:footnoteReference w:id="87"/>
      </w:r>
      <w:r w:rsidRPr="00E07B7E">
        <w:rPr>
          <w:rFonts w:ascii="Times New Roman" w:hAnsi="Times New Roman" w:cs="Times New Roman"/>
          <w:sz w:val="24"/>
          <w:szCs w:val="24"/>
        </w:rPr>
        <w:t xml:space="preserve"> The case was closed as “unresolved” in 2018. EIA states that while the 892 hectares identified in the order have not been further developed by First Resources, “the land conflict continues.</w:t>
      </w:r>
      <w:r w:rsidR="004232AD">
        <w:rPr>
          <w:rFonts w:ascii="Times New Roman" w:hAnsi="Times New Roman" w:cs="Times New Roman"/>
          <w:sz w:val="24"/>
          <w:szCs w:val="24"/>
        </w:rPr>
        <w:t>”</w:t>
      </w:r>
      <w:r w:rsidRPr="00E07B7E">
        <w:rPr>
          <w:rFonts w:ascii="Times New Roman" w:hAnsi="Times New Roman" w:cs="Times New Roman"/>
          <w:sz w:val="24"/>
          <w:szCs w:val="24"/>
          <w:vertAlign w:val="superscript"/>
        </w:rPr>
        <w:footnoteReference w:id="88"/>
      </w:r>
    </w:p>
    <w:p w14:paraId="46481E3F" w14:textId="1563E45A" w:rsidR="00FB2E38" w:rsidRPr="00E07B7E" w:rsidRDefault="001A30E7" w:rsidP="001659DC">
      <w:pPr>
        <w:spacing w:line="360" w:lineRule="auto"/>
        <w:rPr>
          <w:rFonts w:ascii="Times New Roman" w:hAnsi="Times New Roman" w:cs="Times New Roman"/>
          <w:sz w:val="24"/>
          <w:szCs w:val="24"/>
        </w:rPr>
      </w:pPr>
      <w:r>
        <w:rPr>
          <w:rFonts w:ascii="Times New Roman" w:hAnsi="Times New Roman" w:cs="Times New Roman"/>
          <w:sz w:val="24"/>
          <w:szCs w:val="24"/>
        </w:rPr>
        <w:tab/>
      </w:r>
      <w:r w:rsidR="00257566">
        <w:rPr>
          <w:rFonts w:ascii="Times New Roman" w:hAnsi="Times New Roman" w:cs="Times New Roman"/>
          <w:sz w:val="24"/>
          <w:szCs w:val="24"/>
        </w:rPr>
        <w:t xml:space="preserve">Applying </w:t>
      </w:r>
      <w:r w:rsidR="00746794">
        <w:rPr>
          <w:rFonts w:ascii="Times New Roman" w:hAnsi="Times New Roman" w:cs="Times New Roman"/>
          <w:sz w:val="24"/>
          <w:szCs w:val="24"/>
        </w:rPr>
        <w:t>our</w:t>
      </w:r>
      <w:r w:rsidR="00257566">
        <w:rPr>
          <w:rFonts w:ascii="Times New Roman" w:hAnsi="Times New Roman" w:cs="Times New Roman"/>
          <w:sz w:val="24"/>
          <w:szCs w:val="24"/>
        </w:rPr>
        <w:t xml:space="preserve"> definition of </w:t>
      </w:r>
      <w:r w:rsidR="00746794">
        <w:rPr>
          <w:rFonts w:ascii="Times New Roman" w:hAnsi="Times New Roman" w:cs="Times New Roman"/>
          <w:sz w:val="24"/>
          <w:szCs w:val="24"/>
        </w:rPr>
        <w:t>e</w:t>
      </w:r>
      <w:r w:rsidR="00257566">
        <w:rPr>
          <w:rFonts w:ascii="Times New Roman" w:hAnsi="Times New Roman" w:cs="Times New Roman"/>
          <w:sz w:val="24"/>
          <w:szCs w:val="24"/>
        </w:rPr>
        <w:t xml:space="preserve">ffective </w:t>
      </w:r>
      <w:r w:rsidR="00746794">
        <w:rPr>
          <w:rFonts w:ascii="Times New Roman" w:hAnsi="Times New Roman" w:cs="Times New Roman"/>
          <w:sz w:val="24"/>
          <w:szCs w:val="24"/>
        </w:rPr>
        <w:t>r</w:t>
      </w:r>
      <w:r w:rsidR="00257566">
        <w:rPr>
          <w:rFonts w:ascii="Times New Roman" w:hAnsi="Times New Roman" w:cs="Times New Roman"/>
          <w:sz w:val="24"/>
          <w:szCs w:val="24"/>
        </w:rPr>
        <w:t>emedy to the Group I</w:t>
      </w:r>
      <w:r w:rsidR="00DE03E6">
        <w:rPr>
          <w:rFonts w:ascii="Times New Roman" w:hAnsi="Times New Roman" w:cs="Times New Roman"/>
          <w:sz w:val="24"/>
          <w:szCs w:val="24"/>
        </w:rPr>
        <w:t>B</w:t>
      </w:r>
      <w:r w:rsidR="00257566">
        <w:rPr>
          <w:rFonts w:ascii="Times New Roman" w:hAnsi="Times New Roman" w:cs="Times New Roman"/>
          <w:sz w:val="24"/>
          <w:szCs w:val="24"/>
        </w:rPr>
        <w:t xml:space="preserve"> claims</w:t>
      </w:r>
      <w:r w:rsidR="00C6612E">
        <w:rPr>
          <w:rFonts w:ascii="Times New Roman" w:hAnsi="Times New Roman" w:cs="Times New Roman"/>
          <w:sz w:val="24"/>
          <w:szCs w:val="24"/>
        </w:rPr>
        <w:t>, the essential elements of cessation, restoration and</w:t>
      </w:r>
      <w:r w:rsidR="00746794">
        <w:rPr>
          <w:rFonts w:ascii="Times New Roman" w:hAnsi="Times New Roman" w:cs="Times New Roman"/>
          <w:sz w:val="24"/>
          <w:szCs w:val="24"/>
        </w:rPr>
        <w:t>/or</w:t>
      </w:r>
      <w:r w:rsidR="00C6612E">
        <w:rPr>
          <w:rFonts w:ascii="Times New Roman" w:hAnsi="Times New Roman" w:cs="Times New Roman"/>
          <w:sz w:val="24"/>
          <w:szCs w:val="24"/>
        </w:rPr>
        <w:t xml:space="preserve"> reparation are </w:t>
      </w:r>
      <w:r w:rsidR="00746794">
        <w:rPr>
          <w:rFonts w:ascii="Times New Roman" w:hAnsi="Times New Roman" w:cs="Times New Roman"/>
          <w:sz w:val="24"/>
          <w:szCs w:val="24"/>
        </w:rPr>
        <w:t xml:space="preserve">clearly </w:t>
      </w:r>
      <w:r w:rsidR="00C6612E">
        <w:rPr>
          <w:rFonts w:ascii="Times New Roman" w:hAnsi="Times New Roman" w:cs="Times New Roman"/>
          <w:sz w:val="24"/>
          <w:szCs w:val="24"/>
        </w:rPr>
        <w:t xml:space="preserve">still absent. </w:t>
      </w:r>
      <w:r w:rsidR="00260A96" w:rsidRPr="00E07B7E">
        <w:rPr>
          <w:rFonts w:ascii="Times New Roman" w:hAnsi="Times New Roman" w:cs="Times New Roman"/>
          <w:sz w:val="24"/>
          <w:szCs w:val="24"/>
        </w:rPr>
        <w:t>Moving on</w:t>
      </w:r>
      <w:r w:rsidR="004232AD">
        <w:rPr>
          <w:rFonts w:ascii="Times New Roman" w:hAnsi="Times New Roman" w:cs="Times New Roman"/>
          <w:sz w:val="24"/>
          <w:szCs w:val="24"/>
        </w:rPr>
        <w:t xml:space="preserve"> </w:t>
      </w:r>
      <w:r w:rsidR="00260A96" w:rsidRPr="00E07B7E">
        <w:rPr>
          <w:rFonts w:ascii="Times New Roman" w:hAnsi="Times New Roman" w:cs="Times New Roman"/>
          <w:sz w:val="24"/>
          <w:szCs w:val="24"/>
        </w:rPr>
        <w:t>to the sole Group1A claim, where a remedy was provided, the key issues in relation to the case and the remedy provided were as follows</w:t>
      </w:r>
      <w:r w:rsidR="004232AD">
        <w:rPr>
          <w:rFonts w:ascii="Times New Roman" w:hAnsi="Times New Roman" w:cs="Times New Roman"/>
          <w:sz w:val="24"/>
          <w:szCs w:val="24"/>
        </w:rPr>
        <w:t>:</w:t>
      </w:r>
      <w:r w:rsidR="00260A96" w:rsidRPr="00E07B7E">
        <w:rPr>
          <w:rFonts w:ascii="Times New Roman" w:hAnsi="Times New Roman" w:cs="Times New Roman"/>
          <w:sz w:val="24"/>
          <w:szCs w:val="24"/>
        </w:rPr>
        <w:t xml:space="preserve"> </w:t>
      </w:r>
    </w:p>
    <w:p w14:paraId="2ECD1F38" w14:textId="0FD23E48" w:rsidR="00A9652B" w:rsidRDefault="00FB2E38"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u w:val="single"/>
        </w:rPr>
        <w:t>Sustainable Development Institute v. Equatorial Palm Oil</w:t>
      </w:r>
      <w:r w:rsidR="00F11D90" w:rsidRPr="00E07B7E">
        <w:rPr>
          <w:rFonts w:ascii="Times New Roman" w:hAnsi="Times New Roman" w:cs="Times New Roman"/>
          <w:sz w:val="24"/>
          <w:szCs w:val="24"/>
          <w:u w:val="single"/>
        </w:rPr>
        <w:t xml:space="preserve"> (a subsidiary of Kuala Lumpur Kepong Berhad)</w:t>
      </w:r>
      <w:r w:rsidR="0044544C" w:rsidRPr="00E07B7E">
        <w:rPr>
          <w:rFonts w:ascii="Times New Roman" w:hAnsi="Times New Roman" w:cs="Times New Roman"/>
          <w:sz w:val="24"/>
          <w:szCs w:val="24"/>
          <w:u w:val="single"/>
        </w:rPr>
        <w:t>.</w:t>
      </w:r>
      <w:r w:rsidR="001F5A0B" w:rsidRPr="00E07B7E">
        <w:rPr>
          <w:rStyle w:val="FootnoteReference"/>
          <w:rFonts w:ascii="Times New Roman" w:hAnsi="Times New Roman" w:cs="Times New Roman"/>
          <w:sz w:val="24"/>
          <w:szCs w:val="24"/>
        </w:rPr>
        <w:footnoteReference w:id="89"/>
      </w:r>
      <w:r w:rsidR="004232AD" w:rsidRPr="00322CB1">
        <w:rPr>
          <w:rFonts w:ascii="Times New Roman" w:hAnsi="Times New Roman" w:cs="Times New Roman"/>
          <w:sz w:val="24"/>
          <w:szCs w:val="24"/>
        </w:rPr>
        <w:t xml:space="preserve"> </w:t>
      </w:r>
      <w:r w:rsidRPr="00E07B7E">
        <w:rPr>
          <w:rFonts w:ascii="Times New Roman" w:hAnsi="Times New Roman" w:cs="Times New Roman"/>
          <w:sz w:val="24"/>
          <w:szCs w:val="24"/>
        </w:rPr>
        <w:t xml:space="preserve">This case was brought </w:t>
      </w:r>
      <w:r w:rsidR="00F11D90" w:rsidRPr="00E07B7E">
        <w:rPr>
          <w:rFonts w:ascii="Times New Roman" w:hAnsi="Times New Roman" w:cs="Times New Roman"/>
          <w:sz w:val="24"/>
          <w:szCs w:val="24"/>
        </w:rPr>
        <w:t xml:space="preserve">in 2013 </w:t>
      </w:r>
      <w:r w:rsidRPr="00E07B7E">
        <w:rPr>
          <w:rFonts w:ascii="Times New Roman" w:hAnsi="Times New Roman" w:cs="Times New Roman"/>
          <w:sz w:val="24"/>
          <w:szCs w:val="24"/>
        </w:rPr>
        <w:t>by a local NGO on behalf of the Jo</w:t>
      </w:r>
      <w:r w:rsidR="00F11D90" w:rsidRPr="00E07B7E">
        <w:rPr>
          <w:rFonts w:ascii="Times New Roman" w:hAnsi="Times New Roman" w:cs="Times New Roman"/>
          <w:sz w:val="24"/>
          <w:szCs w:val="24"/>
        </w:rPr>
        <w:t>g</w:t>
      </w:r>
      <w:r w:rsidRPr="00E07B7E">
        <w:rPr>
          <w:rFonts w:ascii="Times New Roman" w:hAnsi="Times New Roman" w:cs="Times New Roman"/>
          <w:sz w:val="24"/>
          <w:szCs w:val="24"/>
        </w:rPr>
        <w:t xml:space="preserve">bahn Clan of the Bassa tribe </w:t>
      </w:r>
      <w:r w:rsidR="00913556" w:rsidRPr="00E07B7E">
        <w:rPr>
          <w:rFonts w:ascii="Times New Roman" w:hAnsi="Times New Roman" w:cs="Times New Roman"/>
          <w:sz w:val="24"/>
          <w:szCs w:val="24"/>
        </w:rPr>
        <w:t>in Liberia</w:t>
      </w:r>
      <w:r w:rsidR="00951EF0" w:rsidRPr="00E07B7E">
        <w:rPr>
          <w:rFonts w:ascii="Times New Roman" w:hAnsi="Times New Roman" w:cs="Times New Roman"/>
          <w:sz w:val="24"/>
          <w:szCs w:val="24"/>
        </w:rPr>
        <w:t xml:space="preserve"> against a subsidiary of the world’s third largest palm oil producer</w:t>
      </w:r>
      <w:r w:rsidRPr="00E07B7E">
        <w:rPr>
          <w:rFonts w:ascii="Times New Roman" w:hAnsi="Times New Roman" w:cs="Times New Roman"/>
          <w:sz w:val="24"/>
          <w:szCs w:val="24"/>
        </w:rPr>
        <w:t>. It</w:t>
      </w:r>
      <w:r w:rsidR="00913556" w:rsidRPr="00E07B7E">
        <w:rPr>
          <w:rFonts w:ascii="Times New Roman" w:hAnsi="Times New Roman" w:cs="Times New Roman"/>
          <w:sz w:val="24"/>
          <w:szCs w:val="24"/>
        </w:rPr>
        <w:t xml:space="preserve"> challeng</w:t>
      </w:r>
      <w:r w:rsidRPr="00E07B7E">
        <w:rPr>
          <w:rFonts w:ascii="Times New Roman" w:hAnsi="Times New Roman" w:cs="Times New Roman"/>
          <w:sz w:val="24"/>
          <w:szCs w:val="24"/>
        </w:rPr>
        <w:t>ed</w:t>
      </w:r>
      <w:r w:rsidR="00913556" w:rsidRPr="00E07B7E">
        <w:rPr>
          <w:rFonts w:ascii="Times New Roman" w:hAnsi="Times New Roman" w:cs="Times New Roman"/>
          <w:sz w:val="24"/>
          <w:szCs w:val="24"/>
        </w:rPr>
        <w:t xml:space="preserve"> a plantation’s </w:t>
      </w:r>
      <w:r w:rsidR="006A6711">
        <w:rPr>
          <w:rFonts w:ascii="Times New Roman" w:hAnsi="Times New Roman" w:cs="Times New Roman"/>
          <w:sz w:val="24"/>
          <w:szCs w:val="24"/>
        </w:rPr>
        <w:t>threatened</w:t>
      </w:r>
      <w:r w:rsidR="00913556" w:rsidRPr="00E07B7E">
        <w:rPr>
          <w:rFonts w:ascii="Times New Roman" w:hAnsi="Times New Roman" w:cs="Times New Roman"/>
          <w:sz w:val="24"/>
          <w:szCs w:val="24"/>
        </w:rPr>
        <w:t xml:space="preserve"> expansion onto community land</w:t>
      </w:r>
      <w:r w:rsidR="002B48DC" w:rsidRPr="00E07B7E">
        <w:rPr>
          <w:rFonts w:ascii="Times New Roman" w:hAnsi="Times New Roman" w:cs="Times New Roman"/>
          <w:sz w:val="24"/>
          <w:szCs w:val="24"/>
        </w:rPr>
        <w:t xml:space="preserve"> without its consent</w:t>
      </w:r>
      <w:r w:rsidR="00913556" w:rsidRPr="00E07B7E">
        <w:rPr>
          <w:rFonts w:ascii="Times New Roman" w:hAnsi="Times New Roman" w:cs="Times New Roman"/>
          <w:sz w:val="24"/>
          <w:szCs w:val="24"/>
        </w:rPr>
        <w:t xml:space="preserve">. </w:t>
      </w:r>
      <w:r w:rsidR="006A6711">
        <w:rPr>
          <w:rFonts w:ascii="Times New Roman" w:hAnsi="Times New Roman" w:cs="Times New Roman"/>
          <w:sz w:val="24"/>
          <w:szCs w:val="24"/>
        </w:rPr>
        <w:t>The compa</w:t>
      </w:r>
      <w:r w:rsidR="000446AA">
        <w:rPr>
          <w:rFonts w:ascii="Times New Roman" w:hAnsi="Times New Roman" w:cs="Times New Roman"/>
          <w:sz w:val="24"/>
          <w:szCs w:val="24"/>
        </w:rPr>
        <w:t>ny claimed that it had a right to expand under its Concession Agreement with the Government of Liberia. It</w:t>
      </w:r>
      <w:r w:rsidR="007D789B">
        <w:rPr>
          <w:rFonts w:ascii="Times New Roman" w:hAnsi="Times New Roman" w:cs="Times New Roman"/>
          <w:sz w:val="24"/>
          <w:szCs w:val="24"/>
        </w:rPr>
        <w:t xml:space="preserve"> had obtained and occupied </w:t>
      </w:r>
      <w:r w:rsidR="008762BA">
        <w:rPr>
          <w:rFonts w:ascii="Times New Roman" w:hAnsi="Times New Roman" w:cs="Times New Roman"/>
          <w:sz w:val="24"/>
          <w:szCs w:val="24"/>
        </w:rPr>
        <w:t>thousands of hectares</w:t>
      </w:r>
      <w:r w:rsidR="007D789B">
        <w:rPr>
          <w:rFonts w:ascii="Times New Roman" w:hAnsi="Times New Roman" w:cs="Times New Roman"/>
          <w:sz w:val="24"/>
          <w:szCs w:val="24"/>
        </w:rPr>
        <w:t xml:space="preserve"> up to the very boundary of the community land. </w:t>
      </w:r>
      <w:r w:rsidR="00B7468E">
        <w:rPr>
          <w:rFonts w:ascii="Times New Roman" w:hAnsi="Times New Roman" w:cs="Times New Roman"/>
          <w:sz w:val="24"/>
          <w:szCs w:val="24"/>
        </w:rPr>
        <w:t>It had the power and stated intention of incorporating that land into the plantation</w:t>
      </w:r>
      <w:r w:rsidR="00227C7F">
        <w:rPr>
          <w:rFonts w:ascii="Times New Roman" w:hAnsi="Times New Roman" w:cs="Times New Roman"/>
          <w:sz w:val="24"/>
          <w:szCs w:val="24"/>
        </w:rPr>
        <w:t xml:space="preserve">, and that incorporation appeared imminent when the claim was brought. </w:t>
      </w:r>
      <w:r w:rsidR="005A22F5">
        <w:rPr>
          <w:rFonts w:ascii="Times New Roman" w:hAnsi="Times New Roman" w:cs="Times New Roman"/>
          <w:sz w:val="24"/>
          <w:szCs w:val="24"/>
        </w:rPr>
        <w:t xml:space="preserve">The power dynamics were such that </w:t>
      </w:r>
      <w:proofErr w:type="gramStart"/>
      <w:r w:rsidR="005A22F5">
        <w:rPr>
          <w:rFonts w:ascii="Times New Roman" w:hAnsi="Times New Roman" w:cs="Times New Roman"/>
          <w:sz w:val="24"/>
          <w:szCs w:val="24"/>
        </w:rPr>
        <w:t>all of</w:t>
      </w:r>
      <w:proofErr w:type="gramEnd"/>
      <w:r w:rsidR="005A22F5">
        <w:rPr>
          <w:rFonts w:ascii="Times New Roman" w:hAnsi="Times New Roman" w:cs="Times New Roman"/>
          <w:sz w:val="24"/>
          <w:szCs w:val="24"/>
        </w:rPr>
        <w:t xml:space="preserve"> the land claimed by the company for t</w:t>
      </w:r>
      <w:r w:rsidR="0032724F">
        <w:rPr>
          <w:rFonts w:ascii="Times New Roman" w:hAnsi="Times New Roman" w:cs="Times New Roman"/>
          <w:sz w:val="24"/>
          <w:szCs w:val="24"/>
        </w:rPr>
        <w:t>his plantation had been occupied and planted and no opposition by any community or individual landowner had been successful. The fear of imminent expro</w:t>
      </w:r>
      <w:r w:rsidR="00FA23AE">
        <w:rPr>
          <w:rFonts w:ascii="Times New Roman" w:hAnsi="Times New Roman" w:cs="Times New Roman"/>
          <w:sz w:val="24"/>
          <w:szCs w:val="24"/>
        </w:rPr>
        <w:t xml:space="preserve">priation of this land was so great in 2013 that members of the Jogbahn Clan marched </w:t>
      </w:r>
      <w:r w:rsidR="00813C95">
        <w:rPr>
          <w:rFonts w:ascii="Times New Roman" w:hAnsi="Times New Roman" w:cs="Times New Roman"/>
          <w:sz w:val="24"/>
          <w:szCs w:val="24"/>
        </w:rPr>
        <w:t>protesting</w:t>
      </w:r>
      <w:r w:rsidR="00FA23AE">
        <w:rPr>
          <w:rFonts w:ascii="Times New Roman" w:hAnsi="Times New Roman" w:cs="Times New Roman"/>
          <w:sz w:val="24"/>
          <w:szCs w:val="24"/>
        </w:rPr>
        <w:t xml:space="preserve"> </w:t>
      </w:r>
      <w:r w:rsidR="005A5E41">
        <w:rPr>
          <w:rFonts w:ascii="Times New Roman" w:hAnsi="Times New Roman" w:cs="Times New Roman"/>
          <w:sz w:val="24"/>
          <w:szCs w:val="24"/>
        </w:rPr>
        <w:t xml:space="preserve">it, and were, reportedly, violently arrested by </w:t>
      </w:r>
      <w:r w:rsidR="005A5E41">
        <w:rPr>
          <w:rFonts w:ascii="Times New Roman" w:hAnsi="Times New Roman" w:cs="Times New Roman"/>
          <w:sz w:val="24"/>
          <w:szCs w:val="24"/>
        </w:rPr>
        <w:lastRenderedPageBreak/>
        <w:t>the local police</w:t>
      </w:r>
      <w:r w:rsidR="00E02494">
        <w:rPr>
          <w:rFonts w:ascii="Times New Roman" w:hAnsi="Times New Roman" w:cs="Times New Roman"/>
          <w:sz w:val="24"/>
          <w:szCs w:val="24"/>
        </w:rPr>
        <w:t xml:space="preserve"> at the company’s request. </w:t>
      </w:r>
      <w:r w:rsidR="00813C95">
        <w:rPr>
          <w:rFonts w:ascii="Times New Roman" w:hAnsi="Times New Roman" w:cs="Times New Roman"/>
          <w:sz w:val="24"/>
          <w:szCs w:val="24"/>
        </w:rPr>
        <w:t>They were quickly released by a magistrate with no charges, but the</w:t>
      </w:r>
      <w:r w:rsidR="003C57B1">
        <w:rPr>
          <w:rFonts w:ascii="Times New Roman" w:hAnsi="Times New Roman" w:cs="Times New Roman"/>
          <w:sz w:val="24"/>
          <w:szCs w:val="24"/>
        </w:rPr>
        <w:t xml:space="preserve"> police attack on the protest remains a traumatic event</w:t>
      </w:r>
      <w:r w:rsidR="008B7101">
        <w:rPr>
          <w:rFonts w:ascii="Times New Roman" w:hAnsi="Times New Roman" w:cs="Times New Roman"/>
          <w:sz w:val="24"/>
          <w:szCs w:val="24"/>
        </w:rPr>
        <w:t xml:space="preserve"> in the eyes of the community</w:t>
      </w:r>
      <w:r w:rsidR="00926B63">
        <w:rPr>
          <w:rFonts w:ascii="Times New Roman" w:hAnsi="Times New Roman" w:cs="Times New Roman"/>
          <w:sz w:val="24"/>
          <w:szCs w:val="24"/>
        </w:rPr>
        <w:t>.</w:t>
      </w:r>
      <w:r w:rsidR="001B33AF">
        <w:rPr>
          <w:rStyle w:val="FootnoteReference"/>
          <w:rFonts w:ascii="Times New Roman" w:hAnsi="Times New Roman" w:cs="Times New Roman"/>
          <w:sz w:val="24"/>
          <w:szCs w:val="24"/>
        </w:rPr>
        <w:footnoteReference w:id="90"/>
      </w:r>
      <w:r w:rsidR="009218B5">
        <w:rPr>
          <w:rFonts w:ascii="Times New Roman" w:hAnsi="Times New Roman" w:cs="Times New Roman"/>
          <w:sz w:val="24"/>
          <w:szCs w:val="24"/>
        </w:rPr>
        <w:t>Neither the Jogbahn Clan member nor the NGO representing them had f</w:t>
      </w:r>
      <w:r w:rsidR="006533F9">
        <w:rPr>
          <w:rFonts w:ascii="Times New Roman" w:hAnsi="Times New Roman" w:cs="Times New Roman"/>
          <w:sz w:val="24"/>
          <w:szCs w:val="24"/>
        </w:rPr>
        <w:t>aith in the court system to protect them. The NGO representative call</w:t>
      </w:r>
      <w:r w:rsidR="008B7101">
        <w:rPr>
          <w:rFonts w:ascii="Times New Roman" w:hAnsi="Times New Roman" w:cs="Times New Roman"/>
          <w:sz w:val="24"/>
          <w:szCs w:val="24"/>
        </w:rPr>
        <w:t>ed</w:t>
      </w:r>
      <w:r w:rsidR="006533F9">
        <w:rPr>
          <w:rFonts w:ascii="Times New Roman" w:hAnsi="Times New Roman" w:cs="Times New Roman"/>
          <w:sz w:val="24"/>
          <w:szCs w:val="24"/>
        </w:rPr>
        <w:t xml:space="preserve"> th</w:t>
      </w:r>
      <w:r w:rsidR="008B7101">
        <w:rPr>
          <w:rFonts w:ascii="Times New Roman" w:hAnsi="Times New Roman" w:cs="Times New Roman"/>
          <w:sz w:val="24"/>
          <w:szCs w:val="24"/>
        </w:rPr>
        <w:t>e court system</w:t>
      </w:r>
      <w:r w:rsidR="006533F9">
        <w:rPr>
          <w:rFonts w:ascii="Times New Roman" w:hAnsi="Times New Roman" w:cs="Times New Roman"/>
          <w:sz w:val="24"/>
          <w:szCs w:val="24"/>
        </w:rPr>
        <w:t xml:space="preserve"> “hopeless” and one Clan member in a public meeting</w:t>
      </w:r>
      <w:r w:rsidR="00F2705D">
        <w:rPr>
          <w:rFonts w:ascii="Times New Roman" w:hAnsi="Times New Roman" w:cs="Times New Roman"/>
          <w:sz w:val="24"/>
          <w:szCs w:val="24"/>
        </w:rPr>
        <w:t xml:space="preserve"> said flatly “RSPO is more caring than the government.” This last statement was echoed by</w:t>
      </w:r>
      <w:r w:rsidR="00615E65">
        <w:rPr>
          <w:rFonts w:ascii="Times New Roman" w:hAnsi="Times New Roman" w:cs="Times New Roman"/>
          <w:sz w:val="24"/>
          <w:szCs w:val="24"/>
        </w:rPr>
        <w:t xml:space="preserve"> loud agreement</w:t>
      </w:r>
      <w:r w:rsidR="008B7101">
        <w:rPr>
          <w:rFonts w:ascii="Times New Roman" w:hAnsi="Times New Roman" w:cs="Times New Roman"/>
          <w:sz w:val="24"/>
          <w:szCs w:val="24"/>
        </w:rPr>
        <w:t xml:space="preserve"> from </w:t>
      </w:r>
      <w:r w:rsidR="00B24EA6">
        <w:rPr>
          <w:rFonts w:ascii="Times New Roman" w:hAnsi="Times New Roman" w:cs="Times New Roman"/>
          <w:sz w:val="24"/>
          <w:szCs w:val="24"/>
        </w:rPr>
        <w:t xml:space="preserve">the </w:t>
      </w:r>
      <w:r w:rsidR="008B7101">
        <w:rPr>
          <w:rFonts w:ascii="Times New Roman" w:hAnsi="Times New Roman" w:cs="Times New Roman"/>
          <w:sz w:val="24"/>
          <w:szCs w:val="24"/>
        </w:rPr>
        <w:t>other</w:t>
      </w:r>
      <w:r w:rsidR="00B24EA6">
        <w:rPr>
          <w:rFonts w:ascii="Times New Roman" w:hAnsi="Times New Roman" w:cs="Times New Roman"/>
          <w:sz w:val="24"/>
          <w:szCs w:val="24"/>
        </w:rPr>
        <w:t>s</w:t>
      </w:r>
      <w:r w:rsidR="008B7101">
        <w:rPr>
          <w:rFonts w:ascii="Times New Roman" w:hAnsi="Times New Roman" w:cs="Times New Roman"/>
          <w:sz w:val="24"/>
          <w:szCs w:val="24"/>
        </w:rPr>
        <w:t xml:space="preserve"> present</w:t>
      </w:r>
      <w:r w:rsidR="00615E65">
        <w:rPr>
          <w:rFonts w:ascii="Times New Roman" w:hAnsi="Times New Roman" w:cs="Times New Roman"/>
          <w:sz w:val="24"/>
          <w:szCs w:val="24"/>
        </w:rPr>
        <w:t xml:space="preserve">. </w:t>
      </w:r>
      <w:r w:rsidR="00437D56">
        <w:rPr>
          <w:rFonts w:ascii="Times New Roman" w:hAnsi="Times New Roman" w:cs="Times New Roman"/>
          <w:sz w:val="24"/>
          <w:szCs w:val="24"/>
        </w:rPr>
        <w:t xml:space="preserve">A </w:t>
      </w:r>
      <w:r w:rsidR="00FD5208">
        <w:rPr>
          <w:rFonts w:ascii="Times New Roman" w:hAnsi="Times New Roman" w:cs="Times New Roman"/>
          <w:sz w:val="24"/>
          <w:szCs w:val="24"/>
        </w:rPr>
        <w:t>comp</w:t>
      </w:r>
      <w:r w:rsidR="00437D56">
        <w:rPr>
          <w:rFonts w:ascii="Times New Roman" w:hAnsi="Times New Roman" w:cs="Times New Roman"/>
          <w:sz w:val="24"/>
          <w:szCs w:val="24"/>
        </w:rPr>
        <w:t>laint was filed</w:t>
      </w:r>
      <w:r w:rsidR="00235573">
        <w:rPr>
          <w:rFonts w:ascii="Times New Roman" w:hAnsi="Times New Roman" w:cs="Times New Roman"/>
          <w:sz w:val="24"/>
          <w:szCs w:val="24"/>
        </w:rPr>
        <w:t xml:space="preserve"> </w:t>
      </w:r>
      <w:r w:rsidR="00F14B91">
        <w:rPr>
          <w:rFonts w:ascii="Times New Roman" w:hAnsi="Times New Roman" w:cs="Times New Roman"/>
          <w:sz w:val="24"/>
          <w:szCs w:val="24"/>
        </w:rPr>
        <w:t xml:space="preserve">in October 2013 </w:t>
      </w:r>
      <w:r w:rsidR="00235573">
        <w:rPr>
          <w:rFonts w:ascii="Times New Roman" w:hAnsi="Times New Roman" w:cs="Times New Roman"/>
          <w:sz w:val="24"/>
          <w:szCs w:val="24"/>
        </w:rPr>
        <w:t>with the RSPO complaints mechanism</w:t>
      </w:r>
      <w:r w:rsidR="00746794">
        <w:rPr>
          <w:rFonts w:ascii="Times New Roman" w:hAnsi="Times New Roman" w:cs="Times New Roman"/>
          <w:sz w:val="24"/>
          <w:szCs w:val="24"/>
        </w:rPr>
        <w:t>, which was investigated and upheld</w:t>
      </w:r>
      <w:r w:rsidR="00235573">
        <w:rPr>
          <w:rFonts w:ascii="Times New Roman" w:hAnsi="Times New Roman" w:cs="Times New Roman"/>
          <w:sz w:val="24"/>
          <w:szCs w:val="24"/>
        </w:rPr>
        <w:t xml:space="preserve">. </w:t>
      </w:r>
      <w:r w:rsidR="00913556" w:rsidRPr="00E07B7E">
        <w:rPr>
          <w:rFonts w:ascii="Times New Roman" w:hAnsi="Times New Roman" w:cs="Times New Roman"/>
          <w:sz w:val="24"/>
          <w:szCs w:val="24"/>
        </w:rPr>
        <w:t>In response to the Complaint Panel’s ruling, the company stopped the expansion at the very border of the community’s land. It held a joint mapping exercise to determine the exact boundary of the claimed community land and signed a Memorandum of Understanding (MOU) promising not to enter the land without the community’s free, prior and informed consent.</w:t>
      </w:r>
      <w:r w:rsidR="00A06904" w:rsidRPr="00E07B7E">
        <w:rPr>
          <w:rStyle w:val="FootnoteReference"/>
          <w:rFonts w:ascii="Times New Roman" w:hAnsi="Times New Roman" w:cs="Times New Roman"/>
          <w:sz w:val="24"/>
          <w:szCs w:val="24"/>
        </w:rPr>
        <w:footnoteReference w:id="91"/>
      </w:r>
      <w:r w:rsidR="00913556" w:rsidRPr="00E07B7E">
        <w:rPr>
          <w:rFonts w:ascii="Times New Roman" w:hAnsi="Times New Roman" w:cs="Times New Roman"/>
          <w:sz w:val="24"/>
          <w:szCs w:val="24"/>
        </w:rPr>
        <w:t xml:space="preserve"> </w:t>
      </w:r>
      <w:r w:rsidR="00FA6BD0">
        <w:rPr>
          <w:rFonts w:ascii="Times New Roman" w:hAnsi="Times New Roman" w:cs="Times New Roman"/>
          <w:sz w:val="24"/>
          <w:szCs w:val="24"/>
        </w:rPr>
        <w:t xml:space="preserve">One of the Jogbahn elders stated during a public “town hall” style meeting that </w:t>
      </w:r>
      <w:r w:rsidR="00DA2031">
        <w:rPr>
          <w:rFonts w:ascii="Times New Roman" w:hAnsi="Times New Roman" w:cs="Times New Roman"/>
          <w:sz w:val="24"/>
          <w:szCs w:val="24"/>
        </w:rPr>
        <w:t>the NGOs representing them in the RSPO claim “taught us the wor</w:t>
      </w:r>
      <w:r w:rsidR="00655BA9">
        <w:rPr>
          <w:rFonts w:ascii="Times New Roman" w:hAnsi="Times New Roman" w:cs="Times New Roman"/>
          <w:sz w:val="24"/>
          <w:szCs w:val="24"/>
        </w:rPr>
        <w:t xml:space="preserve">d ‘FPIC’.” </w:t>
      </w:r>
    </w:p>
    <w:p w14:paraId="7BD74379" w14:textId="558374A7" w:rsidR="004D0EEF" w:rsidRDefault="00A06904"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Since the MOU was signed</w:t>
      </w:r>
      <w:r w:rsidR="00F11D90" w:rsidRPr="00E07B7E">
        <w:rPr>
          <w:rFonts w:ascii="Times New Roman" w:hAnsi="Times New Roman" w:cs="Times New Roman"/>
          <w:sz w:val="24"/>
          <w:szCs w:val="24"/>
        </w:rPr>
        <w:t xml:space="preserve"> and the case was closed in 2016</w:t>
      </w:r>
      <w:r w:rsidRPr="00E07B7E">
        <w:rPr>
          <w:rFonts w:ascii="Times New Roman" w:hAnsi="Times New Roman" w:cs="Times New Roman"/>
          <w:sz w:val="24"/>
          <w:szCs w:val="24"/>
        </w:rPr>
        <w:t>, t</w:t>
      </w:r>
      <w:r w:rsidR="00913556" w:rsidRPr="00E07B7E">
        <w:rPr>
          <w:rFonts w:ascii="Times New Roman" w:hAnsi="Times New Roman" w:cs="Times New Roman"/>
          <w:sz w:val="24"/>
          <w:szCs w:val="24"/>
        </w:rPr>
        <w:t xml:space="preserve">he community </w:t>
      </w:r>
      <w:r w:rsidRPr="00E07B7E">
        <w:rPr>
          <w:rFonts w:ascii="Times New Roman" w:hAnsi="Times New Roman" w:cs="Times New Roman"/>
          <w:sz w:val="24"/>
          <w:szCs w:val="24"/>
        </w:rPr>
        <w:t>ha</w:t>
      </w:r>
      <w:r w:rsidR="00F11D90" w:rsidRPr="00E07B7E">
        <w:rPr>
          <w:rFonts w:ascii="Times New Roman" w:hAnsi="Times New Roman" w:cs="Times New Roman"/>
          <w:sz w:val="24"/>
          <w:szCs w:val="24"/>
        </w:rPr>
        <w:t>s</w:t>
      </w:r>
      <w:r w:rsidRPr="00E07B7E">
        <w:rPr>
          <w:rFonts w:ascii="Times New Roman" w:hAnsi="Times New Roman" w:cs="Times New Roman"/>
          <w:sz w:val="24"/>
          <w:szCs w:val="24"/>
        </w:rPr>
        <w:t xml:space="preserve"> repeatedly complained</w:t>
      </w:r>
      <w:r w:rsidR="00913556" w:rsidRPr="00E07B7E">
        <w:rPr>
          <w:rFonts w:ascii="Times New Roman" w:hAnsi="Times New Roman" w:cs="Times New Roman"/>
          <w:sz w:val="24"/>
          <w:szCs w:val="24"/>
        </w:rPr>
        <w:t xml:space="preserve"> that the company is trying to inappropriate</w:t>
      </w:r>
      <w:r w:rsidR="002B48DC" w:rsidRPr="00E07B7E">
        <w:rPr>
          <w:rFonts w:ascii="Times New Roman" w:hAnsi="Times New Roman" w:cs="Times New Roman"/>
          <w:sz w:val="24"/>
          <w:szCs w:val="24"/>
        </w:rPr>
        <w:t>ly</w:t>
      </w:r>
      <w:r w:rsidR="00913556" w:rsidRPr="00E07B7E">
        <w:rPr>
          <w:rFonts w:ascii="Times New Roman" w:hAnsi="Times New Roman" w:cs="Times New Roman"/>
          <w:sz w:val="24"/>
          <w:szCs w:val="24"/>
        </w:rPr>
        <w:t xml:space="preserve"> circumvent the MOU by approaching individuals who are not authorized </w:t>
      </w:r>
      <w:r w:rsidR="00215F79" w:rsidRPr="00E07B7E">
        <w:rPr>
          <w:rFonts w:ascii="Times New Roman" w:hAnsi="Times New Roman" w:cs="Times New Roman"/>
          <w:sz w:val="24"/>
          <w:szCs w:val="24"/>
        </w:rPr>
        <w:t xml:space="preserve">community </w:t>
      </w:r>
      <w:r w:rsidR="00913556" w:rsidRPr="00E07B7E">
        <w:rPr>
          <w:rFonts w:ascii="Times New Roman" w:hAnsi="Times New Roman" w:cs="Times New Roman"/>
          <w:sz w:val="24"/>
          <w:szCs w:val="24"/>
        </w:rPr>
        <w:t xml:space="preserve">representatives to undermine and </w:t>
      </w:r>
      <w:r w:rsidR="00215F79" w:rsidRPr="00E07B7E">
        <w:rPr>
          <w:rFonts w:ascii="Times New Roman" w:hAnsi="Times New Roman" w:cs="Times New Roman"/>
          <w:sz w:val="24"/>
          <w:szCs w:val="24"/>
        </w:rPr>
        <w:t>attempt to</w:t>
      </w:r>
      <w:r w:rsidR="00913556" w:rsidRPr="00E07B7E">
        <w:rPr>
          <w:rFonts w:ascii="Times New Roman" w:hAnsi="Times New Roman" w:cs="Times New Roman"/>
          <w:sz w:val="24"/>
          <w:szCs w:val="24"/>
        </w:rPr>
        <w:t xml:space="preserve"> reverse it.</w:t>
      </w:r>
      <w:r w:rsidR="00260A96" w:rsidRPr="00E07B7E">
        <w:rPr>
          <w:rStyle w:val="FootnoteReference"/>
          <w:rFonts w:ascii="Times New Roman" w:hAnsi="Times New Roman" w:cs="Times New Roman"/>
          <w:sz w:val="24"/>
          <w:szCs w:val="24"/>
        </w:rPr>
        <w:footnoteReference w:id="92"/>
      </w:r>
      <w:r w:rsidR="00913556" w:rsidRPr="00E07B7E">
        <w:rPr>
          <w:rFonts w:ascii="Times New Roman" w:hAnsi="Times New Roman" w:cs="Times New Roman"/>
          <w:sz w:val="24"/>
          <w:szCs w:val="24"/>
        </w:rPr>
        <w:t xml:space="preserve"> They also claim that all members </w:t>
      </w:r>
      <w:r w:rsidR="00215F79" w:rsidRPr="00E07B7E">
        <w:rPr>
          <w:rFonts w:ascii="Times New Roman" w:hAnsi="Times New Roman" w:cs="Times New Roman"/>
          <w:sz w:val="24"/>
          <w:szCs w:val="24"/>
        </w:rPr>
        <w:t xml:space="preserve">of the claimant group </w:t>
      </w:r>
      <w:r w:rsidR="00913556" w:rsidRPr="00E07B7E">
        <w:rPr>
          <w:rFonts w:ascii="Times New Roman" w:hAnsi="Times New Roman" w:cs="Times New Roman"/>
          <w:sz w:val="24"/>
          <w:szCs w:val="24"/>
        </w:rPr>
        <w:t xml:space="preserve">working on the plantation were terminated and told they could </w:t>
      </w:r>
      <w:r w:rsidR="00215F79" w:rsidRPr="00E07B7E">
        <w:rPr>
          <w:rFonts w:ascii="Times New Roman" w:hAnsi="Times New Roman" w:cs="Times New Roman"/>
          <w:sz w:val="24"/>
          <w:szCs w:val="24"/>
        </w:rPr>
        <w:t xml:space="preserve">not </w:t>
      </w:r>
      <w:r w:rsidR="00913556" w:rsidRPr="00E07B7E">
        <w:rPr>
          <w:rFonts w:ascii="Times New Roman" w:hAnsi="Times New Roman" w:cs="Times New Roman"/>
          <w:sz w:val="24"/>
          <w:szCs w:val="24"/>
        </w:rPr>
        <w:t xml:space="preserve">return to work there until the land is handed over to the </w:t>
      </w:r>
      <w:r w:rsidR="00913556" w:rsidRPr="00E07B7E">
        <w:rPr>
          <w:rFonts w:ascii="Times New Roman" w:hAnsi="Times New Roman" w:cs="Times New Roman"/>
          <w:sz w:val="24"/>
          <w:szCs w:val="24"/>
        </w:rPr>
        <w:lastRenderedPageBreak/>
        <w:t>company.</w:t>
      </w:r>
      <w:r w:rsidR="00215F79" w:rsidRPr="00E07B7E">
        <w:rPr>
          <w:rStyle w:val="FootnoteReference"/>
          <w:rFonts w:ascii="Times New Roman" w:hAnsi="Times New Roman" w:cs="Times New Roman"/>
          <w:sz w:val="24"/>
          <w:szCs w:val="24"/>
        </w:rPr>
        <w:footnoteReference w:id="93"/>
      </w:r>
      <w:r w:rsidR="00913556" w:rsidRPr="00E07B7E">
        <w:rPr>
          <w:rFonts w:ascii="Times New Roman" w:hAnsi="Times New Roman" w:cs="Times New Roman"/>
          <w:sz w:val="24"/>
          <w:szCs w:val="24"/>
        </w:rPr>
        <w:t xml:space="preserve"> There continues to be hostility over this land and the company’s efforts to </w:t>
      </w:r>
      <w:r w:rsidR="00746794">
        <w:rPr>
          <w:rFonts w:ascii="Times New Roman" w:hAnsi="Times New Roman" w:cs="Times New Roman"/>
          <w:sz w:val="24"/>
          <w:szCs w:val="24"/>
        </w:rPr>
        <w:t>obtain</w:t>
      </w:r>
      <w:r w:rsidR="00913556" w:rsidRPr="00E07B7E">
        <w:rPr>
          <w:rFonts w:ascii="Times New Roman" w:hAnsi="Times New Roman" w:cs="Times New Roman"/>
          <w:sz w:val="24"/>
          <w:szCs w:val="24"/>
        </w:rPr>
        <w:t xml:space="preserve"> it, but, to date, the land remains in community hands</w:t>
      </w:r>
      <w:r w:rsidR="00000CD1">
        <w:rPr>
          <w:rFonts w:ascii="Times New Roman" w:hAnsi="Times New Roman" w:cs="Times New Roman"/>
          <w:sz w:val="24"/>
          <w:szCs w:val="24"/>
        </w:rPr>
        <w:t xml:space="preserve"> and no new claims have been made to the RSPO regarding these perceived attempts to retaliate and </w:t>
      </w:r>
      <w:r w:rsidR="003F50F9">
        <w:rPr>
          <w:rFonts w:ascii="Times New Roman" w:hAnsi="Times New Roman" w:cs="Times New Roman"/>
          <w:sz w:val="24"/>
          <w:szCs w:val="24"/>
        </w:rPr>
        <w:t>undo the remedy delivered by the first claim</w:t>
      </w:r>
      <w:r w:rsidR="00437D56">
        <w:rPr>
          <w:rFonts w:ascii="Times New Roman" w:hAnsi="Times New Roman" w:cs="Times New Roman"/>
          <w:sz w:val="24"/>
          <w:szCs w:val="24"/>
        </w:rPr>
        <w:t>.</w:t>
      </w:r>
      <w:r w:rsidR="00913556" w:rsidRPr="00E07B7E">
        <w:rPr>
          <w:rFonts w:ascii="Times New Roman" w:hAnsi="Times New Roman" w:cs="Times New Roman"/>
          <w:sz w:val="24"/>
          <w:szCs w:val="24"/>
        </w:rPr>
        <w:t xml:space="preserve"> </w:t>
      </w:r>
      <w:r w:rsidR="00215F79" w:rsidRPr="00E07B7E">
        <w:rPr>
          <w:rFonts w:ascii="Times New Roman" w:hAnsi="Times New Roman" w:cs="Times New Roman"/>
          <w:sz w:val="24"/>
          <w:szCs w:val="24"/>
        </w:rPr>
        <w:t>Due to a change in business plans, the company states that it is not currently attempting to obtain the community land.</w:t>
      </w:r>
      <w:r w:rsidR="00215F79" w:rsidRPr="00E07B7E">
        <w:rPr>
          <w:rStyle w:val="FootnoteReference"/>
          <w:rFonts w:ascii="Times New Roman" w:hAnsi="Times New Roman" w:cs="Times New Roman"/>
          <w:sz w:val="24"/>
          <w:szCs w:val="24"/>
        </w:rPr>
        <w:footnoteReference w:id="94"/>
      </w:r>
      <w:r w:rsidR="00215F79" w:rsidRPr="00E07B7E">
        <w:rPr>
          <w:rFonts w:ascii="Times New Roman" w:hAnsi="Times New Roman" w:cs="Times New Roman"/>
          <w:sz w:val="24"/>
          <w:szCs w:val="24"/>
        </w:rPr>
        <w:t xml:space="preserve"> </w:t>
      </w:r>
      <w:r w:rsidR="006A4D47">
        <w:rPr>
          <w:rFonts w:ascii="Times New Roman" w:hAnsi="Times New Roman" w:cs="Times New Roman"/>
          <w:sz w:val="24"/>
          <w:szCs w:val="24"/>
        </w:rPr>
        <w:t xml:space="preserve">When </w:t>
      </w:r>
      <w:r w:rsidR="006E76DF">
        <w:rPr>
          <w:rFonts w:ascii="Times New Roman" w:hAnsi="Times New Roman" w:cs="Times New Roman"/>
          <w:sz w:val="24"/>
          <w:szCs w:val="24"/>
        </w:rPr>
        <w:t xml:space="preserve">seventy members of the Jogbahn Clan were asked at a public meeting if they </w:t>
      </w:r>
      <w:r w:rsidR="00F17599">
        <w:rPr>
          <w:rFonts w:ascii="Times New Roman" w:hAnsi="Times New Roman" w:cs="Times New Roman"/>
          <w:sz w:val="24"/>
          <w:szCs w:val="24"/>
        </w:rPr>
        <w:t>would someday convey the land to EPO, they responded, loudly, in one voice “Never!”</w:t>
      </w:r>
    </w:p>
    <w:p w14:paraId="2B59216A" w14:textId="7DC0BA6B" w:rsidR="00917C39" w:rsidRDefault="0074723D" w:rsidP="001659D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Applying the definition of </w:t>
      </w:r>
      <w:r w:rsidR="00746794">
        <w:rPr>
          <w:rFonts w:ascii="Times New Roman" w:hAnsi="Times New Roman" w:cs="Times New Roman"/>
          <w:sz w:val="24"/>
          <w:szCs w:val="24"/>
        </w:rPr>
        <w:t>e</w:t>
      </w:r>
      <w:r>
        <w:rPr>
          <w:rFonts w:ascii="Times New Roman" w:hAnsi="Times New Roman" w:cs="Times New Roman"/>
          <w:sz w:val="24"/>
          <w:szCs w:val="24"/>
        </w:rPr>
        <w:t xml:space="preserve">ffective </w:t>
      </w:r>
      <w:r w:rsidR="00746794">
        <w:rPr>
          <w:rFonts w:ascii="Times New Roman" w:hAnsi="Times New Roman" w:cs="Times New Roman"/>
          <w:sz w:val="24"/>
          <w:szCs w:val="24"/>
        </w:rPr>
        <w:t>r</w:t>
      </w:r>
      <w:r>
        <w:rPr>
          <w:rFonts w:ascii="Times New Roman" w:hAnsi="Times New Roman" w:cs="Times New Roman"/>
          <w:sz w:val="24"/>
          <w:szCs w:val="24"/>
        </w:rPr>
        <w:t xml:space="preserve">emedy to this case, </w:t>
      </w:r>
      <w:proofErr w:type="gramStart"/>
      <w:r w:rsidR="004C7E38">
        <w:rPr>
          <w:rFonts w:ascii="Times New Roman" w:hAnsi="Times New Roman" w:cs="Times New Roman"/>
          <w:sz w:val="24"/>
          <w:szCs w:val="24"/>
        </w:rPr>
        <w:t>it is clear that the</w:t>
      </w:r>
      <w:proofErr w:type="gramEnd"/>
      <w:r w:rsidR="004C7E38">
        <w:rPr>
          <w:rFonts w:ascii="Times New Roman" w:hAnsi="Times New Roman" w:cs="Times New Roman"/>
          <w:sz w:val="24"/>
          <w:szCs w:val="24"/>
        </w:rPr>
        <w:t xml:space="preserve"> </w:t>
      </w:r>
      <w:r w:rsidR="00BC3CC8">
        <w:rPr>
          <w:rFonts w:ascii="Times New Roman" w:hAnsi="Times New Roman" w:cs="Times New Roman"/>
          <w:sz w:val="24"/>
          <w:szCs w:val="24"/>
        </w:rPr>
        <w:t xml:space="preserve">primary </w:t>
      </w:r>
      <w:r w:rsidR="004C7E38">
        <w:rPr>
          <w:rFonts w:ascii="Times New Roman" w:hAnsi="Times New Roman" w:cs="Times New Roman"/>
          <w:sz w:val="24"/>
          <w:szCs w:val="24"/>
        </w:rPr>
        <w:t xml:space="preserve">substantive </w:t>
      </w:r>
      <w:r w:rsidR="00360FA9">
        <w:rPr>
          <w:rFonts w:ascii="Times New Roman" w:hAnsi="Times New Roman" w:cs="Times New Roman"/>
          <w:sz w:val="24"/>
          <w:szCs w:val="24"/>
        </w:rPr>
        <w:t>issue was ownership and use of a defined parcel of land</w:t>
      </w:r>
      <w:r w:rsidR="00BC3CC8">
        <w:rPr>
          <w:rFonts w:ascii="Times New Roman" w:hAnsi="Times New Roman" w:cs="Times New Roman"/>
          <w:sz w:val="24"/>
          <w:szCs w:val="24"/>
        </w:rPr>
        <w:t xml:space="preserve">. The company </w:t>
      </w:r>
      <w:r w:rsidR="00437D56">
        <w:rPr>
          <w:rFonts w:ascii="Times New Roman" w:hAnsi="Times New Roman" w:cs="Times New Roman"/>
          <w:sz w:val="24"/>
          <w:szCs w:val="24"/>
        </w:rPr>
        <w:t>sought to take possession of the land, but the RSPO ruling led to a cessation of these efforts</w:t>
      </w:r>
      <w:r w:rsidR="00BC3CC8">
        <w:rPr>
          <w:rFonts w:ascii="Times New Roman" w:hAnsi="Times New Roman" w:cs="Times New Roman"/>
          <w:sz w:val="24"/>
          <w:szCs w:val="24"/>
        </w:rPr>
        <w:t xml:space="preserve">. </w:t>
      </w:r>
      <w:r w:rsidR="00204D6F">
        <w:rPr>
          <w:rFonts w:ascii="Times New Roman" w:hAnsi="Times New Roman" w:cs="Times New Roman"/>
          <w:sz w:val="24"/>
          <w:szCs w:val="24"/>
        </w:rPr>
        <w:t>This</w:t>
      </w:r>
      <w:r w:rsidR="00B07E75">
        <w:rPr>
          <w:rFonts w:ascii="Times New Roman" w:hAnsi="Times New Roman" w:cs="Times New Roman"/>
          <w:sz w:val="24"/>
          <w:szCs w:val="24"/>
        </w:rPr>
        <w:t xml:space="preserve"> was</w:t>
      </w:r>
      <w:r w:rsidR="00204D6F">
        <w:rPr>
          <w:rFonts w:ascii="Times New Roman" w:hAnsi="Times New Roman" w:cs="Times New Roman"/>
          <w:sz w:val="24"/>
          <w:szCs w:val="24"/>
        </w:rPr>
        <w:t>,</w:t>
      </w:r>
      <w:r w:rsidR="00B07E75">
        <w:rPr>
          <w:rFonts w:ascii="Times New Roman" w:hAnsi="Times New Roman" w:cs="Times New Roman"/>
          <w:sz w:val="24"/>
          <w:szCs w:val="24"/>
        </w:rPr>
        <w:t xml:space="preserve"> in </w:t>
      </w:r>
      <w:r w:rsidR="00204D6F">
        <w:rPr>
          <w:rFonts w:ascii="Times New Roman" w:hAnsi="Times New Roman" w:cs="Times New Roman"/>
          <w:sz w:val="24"/>
          <w:szCs w:val="24"/>
        </w:rPr>
        <w:t>one</w:t>
      </w:r>
      <w:r w:rsidR="00B07E75">
        <w:rPr>
          <w:rFonts w:ascii="Times New Roman" w:hAnsi="Times New Roman" w:cs="Times New Roman"/>
          <w:sz w:val="24"/>
          <w:szCs w:val="24"/>
        </w:rPr>
        <w:t xml:space="preserve"> sense</w:t>
      </w:r>
      <w:r w:rsidR="00204D6F">
        <w:rPr>
          <w:rFonts w:ascii="Times New Roman" w:hAnsi="Times New Roman" w:cs="Times New Roman"/>
          <w:sz w:val="24"/>
          <w:szCs w:val="24"/>
        </w:rPr>
        <w:t>,</w:t>
      </w:r>
      <w:r w:rsidR="00B07E75">
        <w:rPr>
          <w:rFonts w:ascii="Times New Roman" w:hAnsi="Times New Roman" w:cs="Times New Roman"/>
          <w:sz w:val="24"/>
          <w:szCs w:val="24"/>
        </w:rPr>
        <w:t xml:space="preserve"> a </w:t>
      </w:r>
      <w:r w:rsidR="00204D6F">
        <w:rPr>
          <w:rFonts w:ascii="Times New Roman" w:hAnsi="Times New Roman" w:cs="Times New Roman"/>
          <w:sz w:val="24"/>
          <w:szCs w:val="24"/>
        </w:rPr>
        <w:t>situation where the</w:t>
      </w:r>
      <w:r w:rsidR="00B07E75">
        <w:rPr>
          <w:rFonts w:ascii="Times New Roman" w:hAnsi="Times New Roman" w:cs="Times New Roman"/>
          <w:sz w:val="24"/>
          <w:szCs w:val="24"/>
        </w:rPr>
        <w:t xml:space="preserve"> human rights vio</w:t>
      </w:r>
      <w:r w:rsidR="00204D6F">
        <w:rPr>
          <w:rFonts w:ascii="Times New Roman" w:hAnsi="Times New Roman" w:cs="Times New Roman"/>
          <w:sz w:val="24"/>
          <w:szCs w:val="24"/>
        </w:rPr>
        <w:t>lation was yet to happen</w:t>
      </w:r>
      <w:r w:rsidR="008D3A37">
        <w:rPr>
          <w:rFonts w:ascii="Times New Roman" w:hAnsi="Times New Roman" w:cs="Times New Roman"/>
          <w:sz w:val="24"/>
          <w:szCs w:val="24"/>
        </w:rPr>
        <w:t>. However, the conflicting claims by the company and community to the land present</w:t>
      </w:r>
      <w:r w:rsidR="002C20D8">
        <w:rPr>
          <w:rFonts w:ascii="Times New Roman" w:hAnsi="Times New Roman" w:cs="Times New Roman"/>
          <w:sz w:val="24"/>
          <w:szCs w:val="24"/>
        </w:rPr>
        <w:t>ed</w:t>
      </w:r>
      <w:r w:rsidR="008D3A37">
        <w:rPr>
          <w:rFonts w:ascii="Times New Roman" w:hAnsi="Times New Roman" w:cs="Times New Roman"/>
          <w:sz w:val="24"/>
          <w:szCs w:val="24"/>
        </w:rPr>
        <w:t xml:space="preserve"> a real </w:t>
      </w:r>
      <w:r w:rsidR="002C20D8">
        <w:rPr>
          <w:rFonts w:ascii="Times New Roman" w:hAnsi="Times New Roman" w:cs="Times New Roman"/>
          <w:sz w:val="24"/>
          <w:szCs w:val="24"/>
        </w:rPr>
        <w:t>ongoing</w:t>
      </w:r>
      <w:r w:rsidR="008D3A37">
        <w:rPr>
          <w:rFonts w:ascii="Times New Roman" w:hAnsi="Times New Roman" w:cs="Times New Roman"/>
          <w:sz w:val="24"/>
          <w:szCs w:val="24"/>
        </w:rPr>
        <w:t xml:space="preserve"> human rights infringement</w:t>
      </w:r>
      <w:r w:rsidR="00CC4F34">
        <w:rPr>
          <w:rFonts w:ascii="Times New Roman" w:hAnsi="Times New Roman" w:cs="Times New Roman"/>
          <w:sz w:val="24"/>
          <w:szCs w:val="24"/>
        </w:rPr>
        <w:t>. For example, why plant crops or a rubber tree that produces for decades on land the company was about to occupy</w:t>
      </w:r>
      <w:r w:rsidR="002C20D8">
        <w:rPr>
          <w:rFonts w:ascii="Times New Roman" w:hAnsi="Times New Roman" w:cs="Times New Roman"/>
          <w:sz w:val="24"/>
          <w:szCs w:val="24"/>
        </w:rPr>
        <w:t>?</w:t>
      </w:r>
      <w:r w:rsidR="00CC4F34">
        <w:rPr>
          <w:rFonts w:ascii="Times New Roman" w:hAnsi="Times New Roman" w:cs="Times New Roman"/>
          <w:sz w:val="24"/>
          <w:szCs w:val="24"/>
        </w:rPr>
        <w:t xml:space="preserve"> Also</w:t>
      </w:r>
      <w:r w:rsidR="004E768F">
        <w:rPr>
          <w:rFonts w:ascii="Times New Roman" w:hAnsi="Times New Roman" w:cs="Times New Roman"/>
          <w:sz w:val="24"/>
          <w:szCs w:val="24"/>
        </w:rPr>
        <w:t>,</w:t>
      </w:r>
      <w:r w:rsidR="00CC4F34">
        <w:rPr>
          <w:rFonts w:ascii="Times New Roman" w:hAnsi="Times New Roman" w:cs="Times New Roman"/>
          <w:sz w:val="24"/>
          <w:szCs w:val="24"/>
        </w:rPr>
        <w:t xml:space="preserve"> the </w:t>
      </w:r>
      <w:r w:rsidR="00C04CFD">
        <w:rPr>
          <w:rFonts w:ascii="Times New Roman" w:hAnsi="Times New Roman" w:cs="Times New Roman"/>
          <w:sz w:val="24"/>
          <w:szCs w:val="24"/>
        </w:rPr>
        <w:t>Jogbahn Clan claimed this land as part of its traditional heritage</w:t>
      </w:r>
      <w:r w:rsidR="00552C0B">
        <w:rPr>
          <w:rFonts w:ascii="Times New Roman" w:hAnsi="Times New Roman" w:cs="Times New Roman"/>
          <w:sz w:val="24"/>
          <w:szCs w:val="24"/>
        </w:rPr>
        <w:t xml:space="preserve"> and to give it no say</w:t>
      </w:r>
      <w:r w:rsidR="002C20D8">
        <w:rPr>
          <w:rFonts w:ascii="Times New Roman" w:hAnsi="Times New Roman" w:cs="Times New Roman"/>
          <w:sz w:val="24"/>
          <w:szCs w:val="24"/>
        </w:rPr>
        <w:t xml:space="preserve"> in</w:t>
      </w:r>
      <w:r w:rsidR="00552C0B">
        <w:rPr>
          <w:rFonts w:ascii="Times New Roman" w:hAnsi="Times New Roman" w:cs="Times New Roman"/>
          <w:sz w:val="24"/>
          <w:szCs w:val="24"/>
        </w:rPr>
        <w:t>, much less compensation</w:t>
      </w:r>
      <w:r w:rsidR="002C20D8">
        <w:rPr>
          <w:rFonts w:ascii="Times New Roman" w:hAnsi="Times New Roman" w:cs="Times New Roman"/>
          <w:sz w:val="24"/>
          <w:szCs w:val="24"/>
        </w:rPr>
        <w:t xml:space="preserve"> for</w:t>
      </w:r>
      <w:r w:rsidR="00552C0B">
        <w:rPr>
          <w:rFonts w:ascii="Times New Roman" w:hAnsi="Times New Roman" w:cs="Times New Roman"/>
          <w:sz w:val="24"/>
          <w:szCs w:val="24"/>
        </w:rPr>
        <w:t>, the land</w:t>
      </w:r>
      <w:r w:rsidR="00204D6F">
        <w:rPr>
          <w:rFonts w:ascii="Times New Roman" w:hAnsi="Times New Roman" w:cs="Times New Roman"/>
          <w:sz w:val="24"/>
          <w:szCs w:val="24"/>
        </w:rPr>
        <w:t>’</w:t>
      </w:r>
      <w:r w:rsidR="00552C0B">
        <w:rPr>
          <w:rFonts w:ascii="Times New Roman" w:hAnsi="Times New Roman" w:cs="Times New Roman"/>
          <w:sz w:val="24"/>
          <w:szCs w:val="24"/>
        </w:rPr>
        <w:t>s expropriation was a</w:t>
      </w:r>
      <w:r w:rsidR="009420C3">
        <w:rPr>
          <w:rFonts w:ascii="Times New Roman" w:hAnsi="Times New Roman" w:cs="Times New Roman"/>
          <w:sz w:val="24"/>
          <w:szCs w:val="24"/>
        </w:rPr>
        <w:t>n</w:t>
      </w:r>
      <w:r w:rsidR="00552C0B">
        <w:rPr>
          <w:rFonts w:ascii="Times New Roman" w:hAnsi="Times New Roman" w:cs="Times New Roman"/>
          <w:sz w:val="24"/>
          <w:szCs w:val="24"/>
        </w:rPr>
        <w:t xml:space="preserve"> injury to their </w:t>
      </w:r>
      <w:r w:rsidR="00704B21">
        <w:rPr>
          <w:rFonts w:ascii="Times New Roman" w:hAnsi="Times New Roman" w:cs="Times New Roman"/>
          <w:sz w:val="24"/>
          <w:szCs w:val="24"/>
        </w:rPr>
        <w:t>traditional property rights and to their own identity</w:t>
      </w:r>
      <w:r w:rsidR="009420C3">
        <w:rPr>
          <w:rFonts w:ascii="Times New Roman" w:hAnsi="Times New Roman" w:cs="Times New Roman"/>
          <w:sz w:val="24"/>
          <w:szCs w:val="24"/>
        </w:rPr>
        <w:t xml:space="preserve"> and dignity</w:t>
      </w:r>
      <w:r w:rsidR="00704B21">
        <w:rPr>
          <w:rFonts w:ascii="Times New Roman" w:hAnsi="Times New Roman" w:cs="Times New Roman"/>
          <w:sz w:val="24"/>
          <w:szCs w:val="24"/>
        </w:rPr>
        <w:t xml:space="preserve">. </w:t>
      </w:r>
      <w:r w:rsidR="001B0C21">
        <w:rPr>
          <w:rFonts w:ascii="Times New Roman" w:hAnsi="Times New Roman" w:cs="Times New Roman"/>
          <w:sz w:val="24"/>
          <w:szCs w:val="24"/>
        </w:rPr>
        <w:t>The RSPO ruling effectively gave the Jogbahn Clan their say and they said “no.” The company respect</w:t>
      </w:r>
      <w:r w:rsidR="005013E1">
        <w:rPr>
          <w:rFonts w:ascii="Times New Roman" w:hAnsi="Times New Roman" w:cs="Times New Roman"/>
          <w:sz w:val="24"/>
          <w:szCs w:val="24"/>
        </w:rPr>
        <w:t>ed</w:t>
      </w:r>
      <w:r w:rsidR="001B0C21">
        <w:rPr>
          <w:rFonts w:ascii="Times New Roman" w:hAnsi="Times New Roman" w:cs="Times New Roman"/>
          <w:sz w:val="24"/>
          <w:szCs w:val="24"/>
        </w:rPr>
        <w:t xml:space="preserve"> that decision</w:t>
      </w:r>
      <w:r w:rsidR="005013E1">
        <w:rPr>
          <w:rFonts w:ascii="Times New Roman" w:hAnsi="Times New Roman" w:cs="Times New Roman"/>
          <w:sz w:val="24"/>
          <w:szCs w:val="24"/>
        </w:rPr>
        <w:t xml:space="preserve"> at least to the extent of not actually occupying the land</w:t>
      </w:r>
      <w:r w:rsidR="00D774E9">
        <w:rPr>
          <w:rFonts w:ascii="Times New Roman" w:hAnsi="Times New Roman" w:cs="Times New Roman"/>
          <w:sz w:val="24"/>
          <w:szCs w:val="24"/>
        </w:rPr>
        <w:t xml:space="preserve"> and assuring all that it would not occupy it without the community’s prior consent</w:t>
      </w:r>
      <w:r w:rsidR="005013E1">
        <w:rPr>
          <w:rFonts w:ascii="Times New Roman" w:hAnsi="Times New Roman" w:cs="Times New Roman"/>
          <w:sz w:val="24"/>
          <w:szCs w:val="24"/>
        </w:rPr>
        <w:t>.</w:t>
      </w:r>
      <w:r w:rsidR="004A4E65">
        <w:rPr>
          <w:rFonts w:ascii="Times New Roman" w:hAnsi="Times New Roman" w:cs="Times New Roman"/>
          <w:sz w:val="24"/>
          <w:szCs w:val="24"/>
        </w:rPr>
        <w:t xml:space="preserve"> </w:t>
      </w:r>
    </w:p>
    <w:p w14:paraId="792ABCE8" w14:textId="65BCA6AF" w:rsidR="00A86CFC" w:rsidRDefault="00A86CFC" w:rsidP="001659D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RSPO did provide an effective remedy here to the claim submitted to it. The </w:t>
      </w:r>
      <w:r w:rsidR="0021008E">
        <w:rPr>
          <w:rFonts w:ascii="Times New Roman" w:hAnsi="Times New Roman" w:cs="Times New Roman"/>
          <w:sz w:val="24"/>
          <w:szCs w:val="24"/>
        </w:rPr>
        <w:t>claimants are</w:t>
      </w:r>
      <w:r>
        <w:rPr>
          <w:rFonts w:ascii="Times New Roman" w:hAnsi="Times New Roman" w:cs="Times New Roman"/>
          <w:sz w:val="24"/>
          <w:szCs w:val="24"/>
        </w:rPr>
        <w:t xml:space="preserve"> today using </w:t>
      </w:r>
      <w:r w:rsidR="0021008E">
        <w:rPr>
          <w:rFonts w:ascii="Times New Roman" w:hAnsi="Times New Roman" w:cs="Times New Roman"/>
          <w:sz w:val="24"/>
          <w:szCs w:val="24"/>
        </w:rPr>
        <w:t>their</w:t>
      </w:r>
      <w:r>
        <w:rPr>
          <w:rFonts w:ascii="Times New Roman" w:hAnsi="Times New Roman" w:cs="Times New Roman"/>
          <w:sz w:val="24"/>
          <w:szCs w:val="24"/>
        </w:rPr>
        <w:t xml:space="preserve"> land for </w:t>
      </w:r>
      <w:r w:rsidR="0021008E">
        <w:rPr>
          <w:rFonts w:ascii="Times New Roman" w:hAnsi="Times New Roman" w:cs="Times New Roman"/>
          <w:sz w:val="24"/>
          <w:szCs w:val="24"/>
        </w:rPr>
        <w:t>their</w:t>
      </w:r>
      <w:r>
        <w:rPr>
          <w:rFonts w:ascii="Times New Roman" w:hAnsi="Times New Roman" w:cs="Times New Roman"/>
          <w:sz w:val="24"/>
          <w:szCs w:val="24"/>
        </w:rPr>
        <w:t xml:space="preserve"> own benefit</w:t>
      </w:r>
      <w:r w:rsidR="00B15A43">
        <w:rPr>
          <w:rFonts w:ascii="Times New Roman" w:hAnsi="Times New Roman" w:cs="Times New Roman"/>
          <w:sz w:val="24"/>
          <w:szCs w:val="24"/>
        </w:rPr>
        <w:t xml:space="preserve">. The </w:t>
      </w:r>
      <w:r w:rsidR="0056165C">
        <w:rPr>
          <w:rFonts w:ascii="Times New Roman" w:hAnsi="Times New Roman" w:cs="Times New Roman"/>
          <w:sz w:val="24"/>
          <w:szCs w:val="24"/>
        </w:rPr>
        <w:t xml:space="preserve">unbroken </w:t>
      </w:r>
      <w:r w:rsidR="00B15A43">
        <w:rPr>
          <w:rFonts w:ascii="Times New Roman" w:hAnsi="Times New Roman" w:cs="Times New Roman"/>
          <w:sz w:val="24"/>
          <w:szCs w:val="24"/>
        </w:rPr>
        <w:t xml:space="preserve">blanket of </w:t>
      </w:r>
      <w:r w:rsidR="0056165C">
        <w:rPr>
          <w:rFonts w:ascii="Times New Roman" w:hAnsi="Times New Roman" w:cs="Times New Roman"/>
          <w:sz w:val="24"/>
          <w:szCs w:val="24"/>
        </w:rPr>
        <w:t xml:space="preserve">plantation </w:t>
      </w:r>
      <w:r w:rsidR="00B15A43">
        <w:rPr>
          <w:rFonts w:ascii="Times New Roman" w:hAnsi="Times New Roman" w:cs="Times New Roman"/>
          <w:sz w:val="24"/>
          <w:szCs w:val="24"/>
        </w:rPr>
        <w:t xml:space="preserve">palm </w:t>
      </w:r>
      <w:r w:rsidR="009F44CC">
        <w:rPr>
          <w:rFonts w:ascii="Times New Roman" w:hAnsi="Times New Roman" w:cs="Times New Roman"/>
          <w:sz w:val="24"/>
          <w:szCs w:val="24"/>
        </w:rPr>
        <w:t xml:space="preserve">oil </w:t>
      </w:r>
      <w:r w:rsidR="00B15A43">
        <w:rPr>
          <w:rFonts w:ascii="Times New Roman" w:hAnsi="Times New Roman" w:cs="Times New Roman"/>
          <w:sz w:val="24"/>
          <w:szCs w:val="24"/>
        </w:rPr>
        <w:t xml:space="preserve">trees </w:t>
      </w:r>
      <w:proofErr w:type="gramStart"/>
      <w:r w:rsidR="009F44CC">
        <w:rPr>
          <w:rFonts w:ascii="Times New Roman" w:hAnsi="Times New Roman" w:cs="Times New Roman"/>
          <w:sz w:val="24"/>
          <w:szCs w:val="24"/>
        </w:rPr>
        <w:t>go</w:t>
      </w:r>
      <w:proofErr w:type="gramEnd"/>
      <w:r w:rsidR="009F44CC">
        <w:rPr>
          <w:rFonts w:ascii="Times New Roman" w:hAnsi="Times New Roman" w:cs="Times New Roman"/>
          <w:sz w:val="24"/>
          <w:szCs w:val="24"/>
        </w:rPr>
        <w:t xml:space="preserve"> righ</w:t>
      </w:r>
      <w:r w:rsidR="00BD2699">
        <w:rPr>
          <w:rFonts w:ascii="Times New Roman" w:hAnsi="Times New Roman" w:cs="Times New Roman"/>
          <w:sz w:val="24"/>
          <w:szCs w:val="24"/>
        </w:rPr>
        <w:t>t</w:t>
      </w:r>
      <w:r w:rsidR="009F44CC">
        <w:rPr>
          <w:rFonts w:ascii="Times New Roman" w:hAnsi="Times New Roman" w:cs="Times New Roman"/>
          <w:sz w:val="24"/>
          <w:szCs w:val="24"/>
        </w:rPr>
        <w:t xml:space="preserve"> up to the</w:t>
      </w:r>
      <w:r w:rsidR="00B15A43">
        <w:rPr>
          <w:rFonts w:ascii="Times New Roman" w:hAnsi="Times New Roman" w:cs="Times New Roman"/>
          <w:sz w:val="24"/>
          <w:szCs w:val="24"/>
        </w:rPr>
        <w:t xml:space="preserve"> land’s western border.</w:t>
      </w:r>
      <w:r w:rsidR="001D54F3">
        <w:rPr>
          <w:rFonts w:ascii="Times New Roman" w:hAnsi="Times New Roman" w:cs="Times New Roman"/>
          <w:sz w:val="24"/>
          <w:szCs w:val="24"/>
        </w:rPr>
        <w:t xml:space="preserve"> While are there are potential</w:t>
      </w:r>
      <w:r w:rsidR="004A3907">
        <w:rPr>
          <w:rFonts w:ascii="Times New Roman" w:hAnsi="Times New Roman" w:cs="Times New Roman"/>
          <w:sz w:val="24"/>
          <w:szCs w:val="24"/>
        </w:rPr>
        <w:t>ly</w:t>
      </w:r>
      <w:r w:rsidR="001D54F3">
        <w:rPr>
          <w:rFonts w:ascii="Times New Roman" w:hAnsi="Times New Roman" w:cs="Times New Roman"/>
          <w:sz w:val="24"/>
          <w:szCs w:val="24"/>
        </w:rPr>
        <w:t xml:space="preserve"> new claims that the company has acted in bad </w:t>
      </w:r>
      <w:r w:rsidR="00437D56">
        <w:rPr>
          <w:rFonts w:ascii="Times New Roman" w:hAnsi="Times New Roman" w:cs="Times New Roman"/>
          <w:sz w:val="24"/>
          <w:szCs w:val="24"/>
        </w:rPr>
        <w:t xml:space="preserve">faith </w:t>
      </w:r>
      <w:r w:rsidR="001D54F3">
        <w:rPr>
          <w:rFonts w:ascii="Times New Roman" w:hAnsi="Times New Roman" w:cs="Times New Roman"/>
          <w:sz w:val="24"/>
          <w:szCs w:val="24"/>
        </w:rPr>
        <w:t xml:space="preserve">attempting to </w:t>
      </w:r>
      <w:r w:rsidR="004A3907">
        <w:rPr>
          <w:rFonts w:ascii="Times New Roman" w:hAnsi="Times New Roman" w:cs="Times New Roman"/>
          <w:sz w:val="24"/>
          <w:szCs w:val="24"/>
        </w:rPr>
        <w:t xml:space="preserve">change the community’s position on the land, those claims have not been submitted to RSPO. </w:t>
      </w:r>
    </w:p>
    <w:p w14:paraId="51AE5BC2" w14:textId="22C18F65" w:rsidR="003646FE" w:rsidRPr="00E07B7E" w:rsidRDefault="00C167E4" w:rsidP="001659DC">
      <w:pPr>
        <w:spacing w:line="360" w:lineRule="auto"/>
        <w:ind w:firstLine="360"/>
        <w:rPr>
          <w:rFonts w:ascii="Times New Roman" w:hAnsi="Times New Roman" w:cs="Times New Roman"/>
          <w:b/>
          <w:sz w:val="24"/>
          <w:szCs w:val="24"/>
        </w:rPr>
      </w:pPr>
      <w:r>
        <w:rPr>
          <w:rFonts w:ascii="Times New Roman" w:hAnsi="Times New Roman" w:cs="Times New Roman"/>
          <w:sz w:val="24"/>
          <w:szCs w:val="24"/>
        </w:rPr>
        <w:lastRenderedPageBreak/>
        <w:tab/>
      </w:r>
      <w:r w:rsidR="00667A42" w:rsidRPr="00E07B7E">
        <w:rPr>
          <w:rFonts w:ascii="Times New Roman" w:hAnsi="Times New Roman" w:cs="Times New Roman"/>
          <w:sz w:val="24"/>
          <w:szCs w:val="24"/>
        </w:rPr>
        <w:t xml:space="preserve">Overall then, only one of the </w:t>
      </w:r>
      <w:r w:rsidR="004A661F" w:rsidRPr="00E07B7E">
        <w:rPr>
          <w:rFonts w:ascii="Times New Roman" w:hAnsi="Times New Roman" w:cs="Times New Roman"/>
          <w:sz w:val="24"/>
          <w:szCs w:val="24"/>
        </w:rPr>
        <w:t>ten</w:t>
      </w:r>
      <w:r w:rsidR="00667A42" w:rsidRPr="00E07B7E">
        <w:rPr>
          <w:rFonts w:ascii="Times New Roman" w:hAnsi="Times New Roman" w:cs="Times New Roman"/>
          <w:sz w:val="24"/>
          <w:szCs w:val="24"/>
        </w:rPr>
        <w:t xml:space="preserve"> cases that produced a ruling in favor of the claimant led to a remedy being provided to the community</w:t>
      </w:r>
      <w:r w:rsidR="00EC026B" w:rsidRPr="00E07B7E">
        <w:rPr>
          <w:rFonts w:ascii="Times New Roman" w:hAnsi="Times New Roman" w:cs="Times New Roman"/>
          <w:sz w:val="24"/>
          <w:szCs w:val="24"/>
        </w:rPr>
        <w:t xml:space="preserve">, albeit </w:t>
      </w:r>
      <w:r w:rsidR="00114D9D" w:rsidRPr="00E07B7E">
        <w:rPr>
          <w:rFonts w:ascii="Times New Roman" w:hAnsi="Times New Roman" w:cs="Times New Roman"/>
          <w:sz w:val="24"/>
          <w:szCs w:val="24"/>
        </w:rPr>
        <w:t xml:space="preserve">with the </w:t>
      </w:r>
      <w:r w:rsidR="002C4E65">
        <w:rPr>
          <w:rFonts w:ascii="Times New Roman" w:hAnsi="Times New Roman" w:cs="Times New Roman"/>
          <w:sz w:val="24"/>
          <w:szCs w:val="24"/>
        </w:rPr>
        <w:t xml:space="preserve">community claiming </w:t>
      </w:r>
      <w:r w:rsidR="00492351">
        <w:rPr>
          <w:rFonts w:ascii="Times New Roman" w:hAnsi="Times New Roman" w:cs="Times New Roman"/>
          <w:sz w:val="24"/>
          <w:szCs w:val="24"/>
        </w:rPr>
        <w:t xml:space="preserve">that the </w:t>
      </w:r>
      <w:r w:rsidR="00114D9D" w:rsidRPr="00E07B7E">
        <w:rPr>
          <w:rFonts w:ascii="Times New Roman" w:hAnsi="Times New Roman" w:cs="Times New Roman"/>
          <w:sz w:val="24"/>
          <w:szCs w:val="24"/>
        </w:rPr>
        <w:t xml:space="preserve">company </w:t>
      </w:r>
      <w:r w:rsidR="00492351">
        <w:rPr>
          <w:rFonts w:ascii="Times New Roman" w:hAnsi="Times New Roman" w:cs="Times New Roman"/>
          <w:sz w:val="24"/>
          <w:szCs w:val="24"/>
        </w:rPr>
        <w:t xml:space="preserve">has </w:t>
      </w:r>
      <w:r w:rsidR="00114D9D" w:rsidRPr="00E07B7E">
        <w:rPr>
          <w:rFonts w:ascii="Times New Roman" w:hAnsi="Times New Roman" w:cs="Times New Roman"/>
          <w:sz w:val="24"/>
          <w:szCs w:val="24"/>
        </w:rPr>
        <w:t>tak</w:t>
      </w:r>
      <w:r w:rsidR="00492351">
        <w:rPr>
          <w:rFonts w:ascii="Times New Roman" w:hAnsi="Times New Roman" w:cs="Times New Roman"/>
          <w:sz w:val="24"/>
          <w:szCs w:val="24"/>
        </w:rPr>
        <w:t>en</w:t>
      </w:r>
      <w:r w:rsidR="00114D9D" w:rsidRPr="00E07B7E">
        <w:rPr>
          <w:rFonts w:ascii="Times New Roman" w:hAnsi="Times New Roman" w:cs="Times New Roman"/>
          <w:sz w:val="24"/>
          <w:szCs w:val="24"/>
        </w:rPr>
        <w:t xml:space="preserve"> action to undermine that result.</w:t>
      </w:r>
      <w:r w:rsidR="009827A8" w:rsidRPr="00E07B7E">
        <w:rPr>
          <w:rFonts w:ascii="Times New Roman" w:hAnsi="Times New Roman" w:cs="Times New Roman"/>
          <w:sz w:val="24"/>
          <w:szCs w:val="24"/>
        </w:rPr>
        <w:t xml:space="preserve"> </w:t>
      </w:r>
      <w:r w:rsidR="007B179F" w:rsidRPr="00E07B7E">
        <w:rPr>
          <w:rFonts w:ascii="Times New Roman" w:hAnsi="Times New Roman" w:cs="Times New Roman"/>
          <w:sz w:val="24"/>
          <w:szCs w:val="24"/>
        </w:rPr>
        <w:t>We</w:t>
      </w:r>
      <w:r w:rsidR="007B179F" w:rsidRPr="00E07B7E">
        <w:rPr>
          <w:rFonts w:ascii="Times New Roman" w:hAnsi="Times New Roman" w:cs="Times New Roman"/>
          <w:b/>
          <w:sz w:val="24"/>
          <w:szCs w:val="24"/>
        </w:rPr>
        <w:t xml:space="preserve"> </w:t>
      </w:r>
      <w:r w:rsidR="00A36B54">
        <w:rPr>
          <w:rFonts w:ascii="Times New Roman" w:hAnsi="Times New Roman" w:cs="Times New Roman"/>
          <w:sz w:val="24"/>
          <w:szCs w:val="24"/>
        </w:rPr>
        <w:t>have focused on the outcomes of cases because we argue</w:t>
      </w:r>
      <w:r w:rsidR="007B179F" w:rsidRPr="00E07B7E">
        <w:rPr>
          <w:rFonts w:ascii="Times New Roman" w:hAnsi="Times New Roman" w:cs="Times New Roman"/>
          <w:sz w:val="24"/>
          <w:szCs w:val="24"/>
        </w:rPr>
        <w:t xml:space="preserve"> that these present </w:t>
      </w:r>
      <w:r w:rsidR="00A36B54">
        <w:rPr>
          <w:rFonts w:ascii="Times New Roman" w:hAnsi="Times New Roman" w:cs="Times New Roman"/>
          <w:sz w:val="24"/>
          <w:szCs w:val="24"/>
        </w:rPr>
        <w:t xml:space="preserve">the most </w:t>
      </w:r>
      <w:r w:rsidR="007B179F" w:rsidRPr="00E07B7E">
        <w:rPr>
          <w:rFonts w:ascii="Times New Roman" w:hAnsi="Times New Roman" w:cs="Times New Roman"/>
          <w:sz w:val="24"/>
          <w:szCs w:val="24"/>
        </w:rPr>
        <w:t>important evidence of how the system is functioning from the complainant’s perspective.</w:t>
      </w:r>
      <w:r w:rsidR="007B179F" w:rsidRPr="00E07B7E">
        <w:rPr>
          <w:rFonts w:ascii="Times New Roman" w:hAnsi="Times New Roman" w:cs="Times New Roman"/>
          <w:b/>
          <w:sz w:val="24"/>
          <w:szCs w:val="24"/>
        </w:rPr>
        <w:t xml:space="preserve"> </w:t>
      </w:r>
      <w:r w:rsidR="008A0F37">
        <w:rPr>
          <w:rFonts w:ascii="Times New Roman" w:hAnsi="Times New Roman" w:cs="Times New Roman"/>
          <w:sz w:val="24"/>
          <w:szCs w:val="24"/>
        </w:rPr>
        <w:t xml:space="preserve">We are not thereby claiming that </w:t>
      </w:r>
      <w:r w:rsidR="000519CE">
        <w:rPr>
          <w:rFonts w:ascii="Times New Roman" w:hAnsi="Times New Roman" w:cs="Times New Roman"/>
          <w:sz w:val="24"/>
          <w:szCs w:val="24"/>
        </w:rPr>
        <w:t>the process which produces these outcomes does not</w:t>
      </w:r>
      <w:r w:rsidR="008A0F37">
        <w:rPr>
          <w:rFonts w:ascii="Times New Roman" w:hAnsi="Times New Roman" w:cs="Times New Roman"/>
          <w:sz w:val="24"/>
          <w:szCs w:val="24"/>
        </w:rPr>
        <w:t xml:space="preserve"> matter. In our interviews, </w:t>
      </w:r>
      <w:r w:rsidR="00A36B54">
        <w:rPr>
          <w:rFonts w:ascii="Times New Roman" w:hAnsi="Times New Roman" w:cs="Times New Roman"/>
          <w:sz w:val="24"/>
          <w:szCs w:val="24"/>
        </w:rPr>
        <w:t>t</w:t>
      </w:r>
      <w:r w:rsidR="003646FE" w:rsidRPr="00E07B7E">
        <w:rPr>
          <w:rFonts w:ascii="Times New Roman" w:hAnsi="Times New Roman" w:cs="Times New Roman"/>
          <w:sz w:val="24"/>
          <w:szCs w:val="24"/>
        </w:rPr>
        <w:t xml:space="preserve">here was some praise from claimants for aspects of the RSPO claim process. </w:t>
      </w:r>
      <w:r w:rsidR="003646FE" w:rsidRPr="00E07B7E">
        <w:rPr>
          <w:rFonts w:ascii="Times New Roman" w:hAnsi="Times New Roman" w:cs="Times New Roman"/>
          <w:bCs/>
          <w:sz w:val="24"/>
          <w:szCs w:val="24"/>
        </w:rPr>
        <w:t>Its ease of filing</w:t>
      </w:r>
      <w:r w:rsidR="008A0F37">
        <w:rPr>
          <w:rFonts w:ascii="Times New Roman" w:hAnsi="Times New Roman" w:cs="Times New Roman"/>
          <w:bCs/>
          <w:sz w:val="24"/>
          <w:szCs w:val="24"/>
        </w:rPr>
        <w:t xml:space="preserve"> and</w:t>
      </w:r>
      <w:r w:rsidR="003646FE" w:rsidRPr="00E07B7E">
        <w:rPr>
          <w:rFonts w:ascii="Times New Roman" w:hAnsi="Times New Roman" w:cs="Times New Roman"/>
          <w:bCs/>
          <w:sz w:val="24"/>
          <w:szCs w:val="24"/>
        </w:rPr>
        <w:t xml:space="preserve"> accessibilit</w:t>
      </w:r>
      <w:r w:rsidR="008A0F37">
        <w:rPr>
          <w:rFonts w:ascii="Times New Roman" w:hAnsi="Times New Roman" w:cs="Times New Roman"/>
          <w:bCs/>
          <w:sz w:val="24"/>
          <w:szCs w:val="24"/>
        </w:rPr>
        <w:t>y</w:t>
      </w:r>
      <w:r w:rsidR="003646FE" w:rsidRPr="00E07B7E">
        <w:rPr>
          <w:rFonts w:ascii="Times New Roman" w:hAnsi="Times New Roman" w:cs="Times New Roman"/>
          <w:bCs/>
          <w:sz w:val="24"/>
          <w:szCs w:val="24"/>
        </w:rPr>
        <w:t xml:space="preserve"> were </w:t>
      </w:r>
      <w:r w:rsidR="008A0F37">
        <w:rPr>
          <w:rFonts w:ascii="Times New Roman" w:hAnsi="Times New Roman" w:cs="Times New Roman"/>
          <w:bCs/>
          <w:sz w:val="24"/>
          <w:szCs w:val="24"/>
        </w:rPr>
        <w:t>noted.</w:t>
      </w:r>
      <w:r w:rsidR="003646FE" w:rsidRPr="00E07B7E">
        <w:rPr>
          <w:rStyle w:val="FootnoteReference"/>
          <w:rFonts w:ascii="Times New Roman" w:hAnsi="Times New Roman" w:cs="Times New Roman"/>
          <w:bCs/>
          <w:sz w:val="24"/>
          <w:szCs w:val="24"/>
        </w:rPr>
        <w:footnoteReference w:id="95"/>
      </w:r>
      <w:r w:rsidR="003646FE" w:rsidRPr="00E07B7E">
        <w:rPr>
          <w:rFonts w:ascii="Times New Roman" w:hAnsi="Times New Roman" w:cs="Times New Roman"/>
          <w:bCs/>
          <w:sz w:val="24"/>
          <w:szCs w:val="24"/>
        </w:rPr>
        <w:t xml:space="preserve"> In some cases, the RSPO investigation method was considered accurate and reliable.</w:t>
      </w:r>
      <w:r w:rsidR="003646FE" w:rsidRPr="00E07B7E">
        <w:rPr>
          <w:rStyle w:val="FootnoteReference"/>
          <w:rFonts w:ascii="Times New Roman" w:hAnsi="Times New Roman" w:cs="Times New Roman"/>
          <w:bCs/>
          <w:sz w:val="24"/>
          <w:szCs w:val="24"/>
        </w:rPr>
        <w:footnoteReference w:id="96"/>
      </w:r>
      <w:r w:rsidR="003646FE" w:rsidRPr="00E07B7E">
        <w:rPr>
          <w:rFonts w:ascii="Times New Roman" w:hAnsi="Times New Roman" w:cs="Times New Roman"/>
          <w:bCs/>
          <w:sz w:val="24"/>
          <w:szCs w:val="24"/>
        </w:rPr>
        <w:t xml:space="preserve"> The overall competence of the RSPO </w:t>
      </w:r>
      <w:r w:rsidR="00BD0D5E">
        <w:rPr>
          <w:rFonts w:ascii="Times New Roman" w:hAnsi="Times New Roman" w:cs="Times New Roman"/>
          <w:bCs/>
          <w:sz w:val="24"/>
          <w:szCs w:val="24"/>
        </w:rPr>
        <w:t>c</w:t>
      </w:r>
      <w:r w:rsidR="003646FE" w:rsidRPr="00E07B7E">
        <w:rPr>
          <w:rFonts w:ascii="Times New Roman" w:hAnsi="Times New Roman" w:cs="Times New Roman"/>
          <w:bCs/>
          <w:sz w:val="24"/>
          <w:szCs w:val="24"/>
        </w:rPr>
        <w:t xml:space="preserve">omplaint </w:t>
      </w:r>
      <w:r w:rsidR="00BD0D5E">
        <w:rPr>
          <w:rFonts w:ascii="Times New Roman" w:hAnsi="Times New Roman" w:cs="Times New Roman"/>
          <w:bCs/>
          <w:sz w:val="24"/>
          <w:szCs w:val="24"/>
        </w:rPr>
        <w:t>p</w:t>
      </w:r>
      <w:r w:rsidR="003646FE" w:rsidRPr="00E07B7E">
        <w:rPr>
          <w:rFonts w:ascii="Times New Roman" w:hAnsi="Times New Roman" w:cs="Times New Roman"/>
          <w:bCs/>
          <w:sz w:val="24"/>
          <w:szCs w:val="24"/>
        </w:rPr>
        <w:t>anel</w:t>
      </w:r>
      <w:r w:rsidR="00865284">
        <w:rPr>
          <w:rFonts w:ascii="Times New Roman" w:hAnsi="Times New Roman" w:cs="Times New Roman"/>
          <w:bCs/>
          <w:sz w:val="24"/>
          <w:szCs w:val="24"/>
        </w:rPr>
        <w:t>s</w:t>
      </w:r>
      <w:r w:rsidR="003646FE" w:rsidRPr="00E07B7E">
        <w:rPr>
          <w:rFonts w:ascii="Times New Roman" w:hAnsi="Times New Roman" w:cs="Times New Roman"/>
          <w:bCs/>
          <w:sz w:val="24"/>
          <w:szCs w:val="24"/>
        </w:rPr>
        <w:t xml:space="preserve"> was recognized.</w:t>
      </w:r>
      <w:r w:rsidR="003646FE" w:rsidRPr="00E07B7E">
        <w:rPr>
          <w:rStyle w:val="FootnoteReference"/>
          <w:rFonts w:ascii="Times New Roman" w:hAnsi="Times New Roman" w:cs="Times New Roman"/>
          <w:bCs/>
          <w:sz w:val="24"/>
          <w:szCs w:val="24"/>
        </w:rPr>
        <w:footnoteReference w:id="97"/>
      </w:r>
      <w:r w:rsidR="003646FE" w:rsidRPr="00E07B7E">
        <w:rPr>
          <w:rFonts w:ascii="Times New Roman" w:hAnsi="Times New Roman" w:cs="Times New Roman"/>
          <w:bCs/>
          <w:sz w:val="24"/>
          <w:szCs w:val="24"/>
        </w:rPr>
        <w:t xml:space="preserve"> Most of these comment</w:t>
      </w:r>
      <w:r w:rsidR="004D217A">
        <w:rPr>
          <w:rFonts w:ascii="Times New Roman" w:hAnsi="Times New Roman" w:cs="Times New Roman"/>
          <w:bCs/>
          <w:sz w:val="24"/>
          <w:szCs w:val="24"/>
        </w:rPr>
        <w:t>er</w:t>
      </w:r>
      <w:r w:rsidR="003646FE" w:rsidRPr="00E07B7E">
        <w:rPr>
          <w:rFonts w:ascii="Times New Roman" w:hAnsi="Times New Roman" w:cs="Times New Roman"/>
          <w:bCs/>
          <w:sz w:val="24"/>
          <w:szCs w:val="24"/>
        </w:rPr>
        <w:t>s emphasized that, although flawed, the RSPO complaint mechanism provided a tool that did not otherwise exist.</w:t>
      </w:r>
      <w:r w:rsidR="003646FE" w:rsidRPr="00E07B7E">
        <w:rPr>
          <w:rStyle w:val="FootnoteReference"/>
          <w:rFonts w:ascii="Times New Roman" w:hAnsi="Times New Roman" w:cs="Times New Roman"/>
          <w:bCs/>
          <w:sz w:val="24"/>
          <w:szCs w:val="24"/>
        </w:rPr>
        <w:footnoteReference w:id="98"/>
      </w:r>
      <w:r w:rsidR="003646FE" w:rsidRPr="00E07B7E">
        <w:rPr>
          <w:rFonts w:ascii="Times New Roman" w:hAnsi="Times New Roman" w:cs="Times New Roman"/>
          <w:b/>
          <w:bCs/>
          <w:sz w:val="24"/>
          <w:szCs w:val="24"/>
        </w:rPr>
        <w:t xml:space="preserve"> </w:t>
      </w:r>
    </w:p>
    <w:p w14:paraId="0D9B4D92" w14:textId="1273D8B2" w:rsidR="00913556" w:rsidRDefault="008E7F63"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At the same time, t</w:t>
      </w:r>
      <w:r w:rsidR="00D4669D" w:rsidRPr="00E07B7E">
        <w:rPr>
          <w:rFonts w:ascii="Times New Roman" w:hAnsi="Times New Roman" w:cs="Times New Roman"/>
          <w:sz w:val="24"/>
          <w:szCs w:val="24"/>
        </w:rPr>
        <w:t>he most common criticism</w:t>
      </w:r>
      <w:r w:rsidR="00E7654C" w:rsidRPr="00E07B7E">
        <w:rPr>
          <w:rFonts w:ascii="Times New Roman" w:hAnsi="Times New Roman" w:cs="Times New Roman"/>
          <w:sz w:val="24"/>
          <w:szCs w:val="24"/>
        </w:rPr>
        <w:t xml:space="preserve"> </w:t>
      </w:r>
      <w:r w:rsidR="00D4669D" w:rsidRPr="00E07B7E">
        <w:rPr>
          <w:rFonts w:ascii="Times New Roman" w:hAnsi="Times New Roman" w:cs="Times New Roman"/>
          <w:sz w:val="24"/>
          <w:szCs w:val="24"/>
        </w:rPr>
        <w:t>was the length of time it takes for a claim to be determined</w:t>
      </w:r>
      <w:r w:rsidR="00714A41">
        <w:rPr>
          <w:rFonts w:ascii="Times New Roman" w:hAnsi="Times New Roman" w:cs="Times New Roman"/>
          <w:sz w:val="24"/>
          <w:szCs w:val="24"/>
        </w:rPr>
        <w:t>.</w:t>
      </w:r>
      <w:r w:rsidR="00D412A4">
        <w:rPr>
          <w:rStyle w:val="FootnoteReference"/>
          <w:rFonts w:ascii="Times New Roman" w:hAnsi="Times New Roman" w:cs="Times New Roman"/>
          <w:sz w:val="24"/>
          <w:szCs w:val="24"/>
        </w:rPr>
        <w:footnoteReference w:id="99"/>
      </w:r>
      <w:r w:rsidR="00D4669D" w:rsidRPr="00E07B7E">
        <w:rPr>
          <w:rFonts w:ascii="Times New Roman" w:hAnsi="Times New Roman" w:cs="Times New Roman"/>
          <w:sz w:val="24"/>
          <w:szCs w:val="24"/>
        </w:rPr>
        <w:t xml:space="preserve"> Even in the one case in which a remedy was ordered and actually received by the claimants (the Group IA case, Equatorial Palm Oil in Liberia), the claimants’ one criticism of the RSPO process was the amount of time it took</w:t>
      </w:r>
      <w:r w:rsidR="009D4CF5" w:rsidRPr="00E07B7E">
        <w:rPr>
          <w:rFonts w:ascii="Times New Roman" w:hAnsi="Times New Roman" w:cs="Times New Roman"/>
          <w:sz w:val="24"/>
          <w:szCs w:val="24"/>
        </w:rPr>
        <w:t>.</w:t>
      </w:r>
      <w:r w:rsidR="00D4669D" w:rsidRPr="00E07B7E">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w:t>
      </w:r>
      <w:r w:rsidR="00E7654C" w:rsidRPr="00E07B7E">
        <w:rPr>
          <w:rFonts w:ascii="Times New Roman" w:hAnsi="Times New Roman" w:cs="Times New Roman"/>
          <w:sz w:val="24"/>
          <w:szCs w:val="24"/>
        </w:rPr>
        <w:t>An analysis of all of t</w:t>
      </w:r>
      <w:r w:rsidR="00913556" w:rsidRPr="00E07B7E">
        <w:rPr>
          <w:rFonts w:ascii="Times New Roman" w:hAnsi="Times New Roman" w:cs="Times New Roman"/>
          <w:sz w:val="24"/>
          <w:szCs w:val="24"/>
        </w:rPr>
        <w:t xml:space="preserve">he human rights complaints </w:t>
      </w:r>
      <w:r w:rsidR="00E7654C" w:rsidRPr="00E07B7E">
        <w:rPr>
          <w:rFonts w:ascii="Times New Roman" w:hAnsi="Times New Roman" w:cs="Times New Roman"/>
          <w:sz w:val="24"/>
          <w:szCs w:val="24"/>
        </w:rPr>
        <w:t>brought through the RSPO complaints mechanism</w:t>
      </w:r>
      <w:r w:rsidR="007B179F" w:rsidRPr="00E07B7E">
        <w:rPr>
          <w:rFonts w:ascii="Times New Roman" w:hAnsi="Times New Roman" w:cs="Times New Roman"/>
          <w:sz w:val="24"/>
          <w:szCs w:val="24"/>
        </w:rPr>
        <w:t xml:space="preserve">, considering the time between the </w:t>
      </w:r>
      <w:r w:rsidR="007B179F" w:rsidRPr="00E07B7E">
        <w:rPr>
          <w:rFonts w:ascii="Times New Roman" w:hAnsi="Times New Roman" w:cs="Times New Roman"/>
          <w:sz w:val="24"/>
          <w:szCs w:val="24"/>
        </w:rPr>
        <w:lastRenderedPageBreak/>
        <w:t>submission of the claim to the time when the case was formally closed by RSPO,</w:t>
      </w:r>
      <w:r w:rsidR="00E7654C" w:rsidRPr="00E07B7E">
        <w:rPr>
          <w:rFonts w:ascii="Times New Roman" w:hAnsi="Times New Roman" w:cs="Times New Roman"/>
          <w:sz w:val="24"/>
          <w:szCs w:val="24"/>
        </w:rPr>
        <w:t xml:space="preserve"> shows that cases </w:t>
      </w:r>
      <w:r w:rsidR="00913556" w:rsidRPr="00E07B7E">
        <w:rPr>
          <w:rFonts w:ascii="Times New Roman" w:hAnsi="Times New Roman" w:cs="Times New Roman"/>
          <w:sz w:val="24"/>
          <w:szCs w:val="24"/>
        </w:rPr>
        <w:t xml:space="preserve">varied greatly in duration. </w:t>
      </w:r>
      <w:r w:rsidR="00215F79" w:rsidRPr="00E07B7E">
        <w:rPr>
          <w:rFonts w:ascii="Times New Roman" w:hAnsi="Times New Roman" w:cs="Times New Roman"/>
          <w:sz w:val="24"/>
          <w:szCs w:val="24"/>
        </w:rPr>
        <w:t>Analyzing</w:t>
      </w:r>
      <w:r w:rsidR="00E7654C" w:rsidRPr="00E07B7E">
        <w:rPr>
          <w:rFonts w:ascii="Times New Roman" w:hAnsi="Times New Roman" w:cs="Times New Roman"/>
          <w:sz w:val="24"/>
          <w:szCs w:val="24"/>
        </w:rPr>
        <w:t xml:space="preserve"> in terms of the groups identified above, we find the following results:</w:t>
      </w:r>
      <w:r w:rsidR="00913556" w:rsidRPr="00E07B7E">
        <w:rPr>
          <w:rFonts w:ascii="Times New Roman" w:hAnsi="Times New Roman" w:cs="Times New Roman"/>
          <w:sz w:val="24"/>
          <w:szCs w:val="24"/>
        </w:rPr>
        <w:t xml:space="preserve"> </w:t>
      </w:r>
    </w:p>
    <w:p w14:paraId="014CCDCE" w14:textId="0E3E0285" w:rsidR="00055F6D" w:rsidRPr="00133F93" w:rsidRDefault="00133F93" w:rsidP="001659DC">
      <w:pPr>
        <w:spacing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INSERT Table 2 Duration of Claims (see end of manuscript)</w:t>
      </w:r>
    </w:p>
    <w:p w14:paraId="7EAEBFDC" w14:textId="4FD9E4D1" w:rsidR="00913556" w:rsidRPr="00E07B7E" w:rsidRDefault="00913556"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As is typical of most adjudicative systems, the duration range is broad. Some cases are withdrawn, </w:t>
      </w:r>
      <w:proofErr w:type="gramStart"/>
      <w:r w:rsidRPr="00E07B7E">
        <w:rPr>
          <w:rFonts w:ascii="Times New Roman" w:hAnsi="Times New Roman" w:cs="Times New Roman"/>
          <w:sz w:val="24"/>
          <w:szCs w:val="24"/>
        </w:rPr>
        <w:t>dismissed</w:t>
      </w:r>
      <w:proofErr w:type="gramEnd"/>
      <w:r w:rsidRPr="00E07B7E">
        <w:rPr>
          <w:rFonts w:ascii="Times New Roman" w:hAnsi="Times New Roman" w:cs="Times New Roman"/>
          <w:sz w:val="24"/>
          <w:szCs w:val="24"/>
        </w:rPr>
        <w:t xml:space="preserve"> or settled quickly. Others take a full process of investigation, decision, monitoring, further decision, and appeal. The RSPO process is not quick. An average human rights claim takes two years to conclude.  The average for a “winning” claim (Group 1) is almost three years. Group </w:t>
      </w:r>
      <w:r w:rsidR="00013D43" w:rsidRPr="00E07B7E">
        <w:rPr>
          <w:rFonts w:ascii="Times New Roman" w:hAnsi="Times New Roman" w:cs="Times New Roman"/>
          <w:sz w:val="24"/>
          <w:szCs w:val="24"/>
        </w:rPr>
        <w:t>1</w:t>
      </w:r>
      <w:r w:rsidRPr="00E07B7E">
        <w:rPr>
          <w:rFonts w:ascii="Times New Roman" w:hAnsi="Times New Roman" w:cs="Times New Roman"/>
          <w:sz w:val="24"/>
          <w:szCs w:val="24"/>
        </w:rPr>
        <w:t xml:space="preserve">B </w:t>
      </w:r>
      <w:r w:rsidR="003B01C0" w:rsidRPr="00E07B7E">
        <w:rPr>
          <w:rFonts w:ascii="Times New Roman" w:hAnsi="Times New Roman" w:cs="Times New Roman"/>
          <w:sz w:val="24"/>
          <w:szCs w:val="24"/>
        </w:rPr>
        <w:t>claims are currently averaging</w:t>
      </w:r>
      <w:r w:rsidRPr="00E07B7E">
        <w:rPr>
          <w:rFonts w:ascii="Times New Roman" w:hAnsi="Times New Roman" w:cs="Times New Roman"/>
          <w:sz w:val="24"/>
          <w:szCs w:val="24"/>
        </w:rPr>
        <w:t xml:space="preserve"> four and half years</w:t>
      </w:r>
      <w:r w:rsidR="003B01C0" w:rsidRPr="00E07B7E">
        <w:rPr>
          <w:rFonts w:ascii="Times New Roman" w:hAnsi="Times New Roman" w:cs="Times New Roman"/>
          <w:sz w:val="24"/>
          <w:szCs w:val="24"/>
        </w:rPr>
        <w:t>, but b</w:t>
      </w:r>
      <w:r w:rsidRPr="00E07B7E">
        <w:rPr>
          <w:rFonts w:ascii="Times New Roman" w:hAnsi="Times New Roman" w:cs="Times New Roman"/>
          <w:sz w:val="24"/>
          <w:szCs w:val="24"/>
        </w:rPr>
        <w:t>ecause the remedy has not yet been provided in those case</w:t>
      </w:r>
      <w:r w:rsidR="003B01C0" w:rsidRPr="00E07B7E">
        <w:rPr>
          <w:rFonts w:ascii="Times New Roman" w:hAnsi="Times New Roman" w:cs="Times New Roman"/>
          <w:sz w:val="24"/>
          <w:szCs w:val="24"/>
        </w:rPr>
        <w:t>s,</w:t>
      </w:r>
      <w:r w:rsidRPr="00E07B7E">
        <w:rPr>
          <w:rFonts w:ascii="Times New Roman" w:hAnsi="Times New Roman" w:cs="Times New Roman"/>
          <w:sz w:val="24"/>
          <w:szCs w:val="24"/>
        </w:rPr>
        <w:t xml:space="preserve"> the final </w:t>
      </w:r>
      <w:r w:rsidR="003B01C0" w:rsidRPr="00E07B7E">
        <w:rPr>
          <w:rFonts w:ascii="Times New Roman" w:hAnsi="Times New Roman" w:cs="Times New Roman"/>
          <w:sz w:val="24"/>
          <w:szCs w:val="24"/>
        </w:rPr>
        <w:t>time periods</w:t>
      </w:r>
      <w:r w:rsidRPr="00E07B7E">
        <w:rPr>
          <w:rFonts w:ascii="Times New Roman" w:hAnsi="Times New Roman" w:cs="Times New Roman"/>
          <w:sz w:val="24"/>
          <w:szCs w:val="24"/>
        </w:rPr>
        <w:t xml:space="preserve"> </w:t>
      </w:r>
      <w:r w:rsidR="00055F6D">
        <w:rPr>
          <w:rFonts w:ascii="Times New Roman" w:hAnsi="Times New Roman" w:cs="Times New Roman"/>
          <w:sz w:val="24"/>
          <w:szCs w:val="24"/>
        </w:rPr>
        <w:t>will</w:t>
      </w:r>
      <w:r w:rsidRPr="00E07B7E">
        <w:rPr>
          <w:rFonts w:ascii="Times New Roman" w:hAnsi="Times New Roman" w:cs="Times New Roman"/>
          <w:sz w:val="24"/>
          <w:szCs w:val="24"/>
        </w:rPr>
        <w:t xml:space="preserve"> be even longer. One large, complex case (G</w:t>
      </w:r>
      <w:r w:rsidR="009D7DA7" w:rsidRPr="00E07B7E">
        <w:rPr>
          <w:rFonts w:ascii="Times New Roman" w:hAnsi="Times New Roman" w:cs="Times New Roman"/>
          <w:sz w:val="24"/>
          <w:szCs w:val="24"/>
        </w:rPr>
        <w:t xml:space="preserve">olden </w:t>
      </w:r>
      <w:r w:rsidRPr="00E07B7E">
        <w:rPr>
          <w:rFonts w:ascii="Times New Roman" w:hAnsi="Times New Roman" w:cs="Times New Roman"/>
          <w:sz w:val="24"/>
          <w:szCs w:val="24"/>
        </w:rPr>
        <w:t>V</w:t>
      </w:r>
      <w:r w:rsidR="009D7DA7" w:rsidRPr="00E07B7E">
        <w:rPr>
          <w:rFonts w:ascii="Times New Roman" w:hAnsi="Times New Roman" w:cs="Times New Roman"/>
          <w:sz w:val="24"/>
          <w:szCs w:val="24"/>
        </w:rPr>
        <w:t>eroleum</w:t>
      </w:r>
      <w:r w:rsidR="007B1B43">
        <w:rPr>
          <w:rFonts w:ascii="Times New Roman" w:hAnsi="Times New Roman" w:cs="Times New Roman"/>
          <w:sz w:val="24"/>
          <w:szCs w:val="24"/>
        </w:rPr>
        <w:t xml:space="preserve"> </w:t>
      </w:r>
      <w:r w:rsidR="009D7DA7" w:rsidRPr="00E07B7E">
        <w:rPr>
          <w:rFonts w:ascii="Times New Roman" w:hAnsi="Times New Roman" w:cs="Times New Roman"/>
          <w:sz w:val="24"/>
          <w:szCs w:val="24"/>
        </w:rPr>
        <w:t>(</w:t>
      </w:r>
      <w:r w:rsidRPr="00E07B7E">
        <w:rPr>
          <w:rFonts w:ascii="Times New Roman" w:hAnsi="Times New Roman" w:cs="Times New Roman"/>
          <w:sz w:val="24"/>
          <w:szCs w:val="24"/>
        </w:rPr>
        <w:t>Liberia</w:t>
      </w:r>
      <w:r w:rsidR="009D7DA7" w:rsidRPr="00E07B7E">
        <w:rPr>
          <w:rFonts w:ascii="Times New Roman" w:hAnsi="Times New Roman" w:cs="Times New Roman"/>
          <w:sz w:val="24"/>
          <w:szCs w:val="24"/>
        </w:rPr>
        <w:t>)</w:t>
      </w:r>
      <w:r w:rsidRPr="00E07B7E">
        <w:rPr>
          <w:rFonts w:ascii="Times New Roman" w:hAnsi="Times New Roman" w:cs="Times New Roman"/>
          <w:sz w:val="24"/>
          <w:szCs w:val="24"/>
        </w:rPr>
        <w:t>) is already at over seven years and there is no end in sight.</w:t>
      </w:r>
      <w:r w:rsidR="00E331B9">
        <w:rPr>
          <w:rFonts w:ascii="Times New Roman" w:hAnsi="Times New Roman" w:cs="Times New Roman"/>
          <w:sz w:val="24"/>
          <w:szCs w:val="24"/>
        </w:rPr>
        <w:t xml:space="preserve"> This raises broader issues about the appropriate methods by which to gauge issues relating to the timeliness of cases, which we return to consider in the following section.    </w:t>
      </w:r>
    </w:p>
    <w:p w14:paraId="36DAD741" w14:textId="02C083C4" w:rsidR="00A74511" w:rsidRPr="00E07B7E" w:rsidRDefault="00C86E7C" w:rsidP="001659DC">
      <w:pPr>
        <w:spacing w:line="360" w:lineRule="auto"/>
        <w:ind w:firstLine="360"/>
        <w:rPr>
          <w:rFonts w:ascii="Times New Roman" w:hAnsi="Times New Roman" w:cs="Times New Roman"/>
          <w:sz w:val="24"/>
          <w:szCs w:val="24"/>
        </w:rPr>
      </w:pPr>
      <w:r w:rsidRPr="00E07B7E">
        <w:rPr>
          <w:rFonts w:ascii="Times New Roman" w:hAnsi="Times New Roman" w:cs="Times New Roman"/>
          <w:sz w:val="24"/>
          <w:szCs w:val="24"/>
        </w:rPr>
        <w:t xml:space="preserve">  </w:t>
      </w:r>
    </w:p>
    <w:p w14:paraId="52A1CBDC" w14:textId="1257A818" w:rsidR="00AB7394" w:rsidRPr="001659DC" w:rsidRDefault="008721CF" w:rsidP="001659DC">
      <w:pPr>
        <w:pStyle w:val="ListParagraph"/>
        <w:numPr>
          <w:ilvl w:val="0"/>
          <w:numId w:val="1"/>
        </w:numPr>
        <w:spacing w:line="360" w:lineRule="auto"/>
        <w:rPr>
          <w:rFonts w:ascii="Times New Roman" w:hAnsi="Times New Roman" w:cs="Times New Roman"/>
          <w:smallCaps/>
          <w:sz w:val="28"/>
          <w:szCs w:val="28"/>
        </w:rPr>
      </w:pPr>
      <w:r w:rsidRPr="001659DC">
        <w:rPr>
          <w:rFonts w:ascii="Times New Roman" w:hAnsi="Times New Roman" w:cs="Times New Roman"/>
          <w:smallCaps/>
          <w:sz w:val="28"/>
          <w:szCs w:val="28"/>
        </w:rPr>
        <w:t xml:space="preserve"> </w:t>
      </w:r>
      <w:r w:rsidR="008A0F37" w:rsidRPr="001659DC">
        <w:rPr>
          <w:rFonts w:ascii="Times New Roman" w:hAnsi="Times New Roman" w:cs="Times New Roman"/>
          <w:smallCaps/>
          <w:sz w:val="28"/>
          <w:szCs w:val="28"/>
        </w:rPr>
        <w:t xml:space="preserve">Implications for the Future Study of Whether NSBGMs provide effective remedy </w:t>
      </w:r>
    </w:p>
    <w:p w14:paraId="4255DD2C" w14:textId="5A3A152B" w:rsidR="00B77B3A" w:rsidRDefault="001D7F07"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Our findings about the RSPO complaints mechanism </w:t>
      </w:r>
      <w:r w:rsidR="00B77B3A">
        <w:rPr>
          <w:rFonts w:ascii="Times New Roman" w:hAnsi="Times New Roman" w:cs="Times New Roman"/>
          <w:sz w:val="24"/>
          <w:szCs w:val="24"/>
        </w:rPr>
        <w:t xml:space="preserve">bring new evidence to debates </w:t>
      </w:r>
      <w:r w:rsidR="00893340">
        <w:rPr>
          <w:rFonts w:ascii="Times New Roman" w:hAnsi="Times New Roman" w:cs="Times New Roman"/>
          <w:sz w:val="24"/>
          <w:szCs w:val="24"/>
        </w:rPr>
        <w:t xml:space="preserve">about </w:t>
      </w:r>
      <w:r>
        <w:rPr>
          <w:rFonts w:ascii="Times New Roman" w:hAnsi="Times New Roman" w:cs="Times New Roman"/>
          <w:sz w:val="24"/>
          <w:szCs w:val="24"/>
        </w:rPr>
        <w:t>the way in which we should assess whether NSBGMs are providing an effective remedy</w:t>
      </w:r>
      <w:r w:rsidR="00483B3E">
        <w:rPr>
          <w:rFonts w:ascii="Times New Roman" w:hAnsi="Times New Roman" w:cs="Times New Roman"/>
          <w:sz w:val="24"/>
          <w:szCs w:val="24"/>
        </w:rPr>
        <w:t>.</w:t>
      </w:r>
      <w:r w:rsidR="00B77B3A">
        <w:rPr>
          <w:rFonts w:ascii="Times New Roman" w:hAnsi="Times New Roman" w:cs="Times New Roman"/>
          <w:sz w:val="24"/>
          <w:szCs w:val="24"/>
        </w:rPr>
        <w:t xml:space="preserve"> Below we reflect on the key findings of our study, how they resonate with the existing literature which studies the effectiveness of NSBGMs, and what the implications of our findings are for how we study whether NSBGMs are providing an effective remedy in the future. </w:t>
      </w:r>
    </w:p>
    <w:p w14:paraId="733DC2F9" w14:textId="6B931E97" w:rsidR="000519CE" w:rsidRPr="003B4295" w:rsidRDefault="00FA2EB8" w:rsidP="001659DC">
      <w:pPr>
        <w:spacing w:line="360" w:lineRule="auto"/>
        <w:ind w:firstLine="360"/>
        <w:rPr>
          <w:rFonts w:ascii="Times New Roman" w:hAnsi="Times New Roman" w:cs="Times New Roman"/>
          <w:bCs/>
          <w:sz w:val="24"/>
          <w:szCs w:val="24"/>
        </w:rPr>
      </w:pPr>
      <w:r w:rsidRPr="00E07B7E">
        <w:rPr>
          <w:rFonts w:ascii="Times New Roman" w:hAnsi="Times New Roman" w:cs="Times New Roman"/>
          <w:sz w:val="24"/>
          <w:szCs w:val="24"/>
        </w:rPr>
        <w:t xml:space="preserve">Measured in terms of the </w:t>
      </w:r>
      <w:r w:rsidR="00F56E94" w:rsidRPr="00E07B7E">
        <w:rPr>
          <w:rFonts w:ascii="Times New Roman" w:hAnsi="Times New Roman" w:cs="Times New Roman"/>
          <w:sz w:val="24"/>
          <w:szCs w:val="24"/>
        </w:rPr>
        <w:t>UNGPs’ eff</w:t>
      </w:r>
      <w:r w:rsidR="00F93EF5" w:rsidRPr="00E07B7E">
        <w:rPr>
          <w:rFonts w:ascii="Times New Roman" w:hAnsi="Times New Roman" w:cs="Times New Roman"/>
          <w:sz w:val="24"/>
          <w:szCs w:val="24"/>
        </w:rPr>
        <w:t>ectiveness criteria</w:t>
      </w:r>
      <w:r w:rsidR="00F05B49" w:rsidRPr="00E07B7E">
        <w:rPr>
          <w:rFonts w:ascii="Times New Roman" w:hAnsi="Times New Roman" w:cs="Times New Roman"/>
          <w:sz w:val="24"/>
          <w:szCs w:val="24"/>
        </w:rPr>
        <w:t>,</w:t>
      </w:r>
      <w:r w:rsidR="00F93EF5" w:rsidRPr="00E07B7E">
        <w:rPr>
          <w:rFonts w:ascii="Times New Roman" w:hAnsi="Times New Roman" w:cs="Times New Roman"/>
          <w:sz w:val="24"/>
          <w:szCs w:val="24"/>
        </w:rPr>
        <w:t xml:space="preserve"> </w:t>
      </w:r>
      <w:r w:rsidR="00B77B3A">
        <w:rPr>
          <w:rFonts w:ascii="Times New Roman" w:hAnsi="Times New Roman" w:cs="Times New Roman"/>
          <w:sz w:val="24"/>
          <w:szCs w:val="24"/>
        </w:rPr>
        <w:t>we have demonstrated how RSPO</w:t>
      </w:r>
      <w:r w:rsidR="00F56E94" w:rsidRPr="00E07B7E">
        <w:rPr>
          <w:rFonts w:ascii="Times New Roman" w:hAnsi="Times New Roman" w:cs="Times New Roman"/>
          <w:sz w:val="24"/>
          <w:szCs w:val="24"/>
        </w:rPr>
        <w:t xml:space="preserve"> </w:t>
      </w:r>
      <w:r w:rsidR="00AD34A7">
        <w:rPr>
          <w:rFonts w:ascii="Times New Roman" w:hAnsi="Times New Roman" w:cs="Times New Roman"/>
          <w:sz w:val="24"/>
          <w:szCs w:val="24"/>
        </w:rPr>
        <w:t>is</w:t>
      </w:r>
      <w:r w:rsidR="00F56E94" w:rsidRPr="00E07B7E">
        <w:rPr>
          <w:rFonts w:ascii="Times New Roman" w:hAnsi="Times New Roman" w:cs="Times New Roman"/>
          <w:sz w:val="24"/>
          <w:szCs w:val="24"/>
        </w:rPr>
        <w:t xml:space="preserve"> a complaint mechanism which has many of the </w:t>
      </w:r>
      <w:r w:rsidR="00F56E94" w:rsidRPr="00E07B7E">
        <w:rPr>
          <w:rFonts w:ascii="Times New Roman" w:hAnsi="Times New Roman" w:cs="Times New Roman"/>
          <w:sz w:val="24"/>
          <w:szCs w:val="24"/>
          <w:lang w:val="en-GB"/>
        </w:rPr>
        <w:t>characteristics that should make a grievance mechanism successful</w:t>
      </w:r>
      <w:r w:rsidR="00F56E94" w:rsidRPr="00E07B7E">
        <w:rPr>
          <w:rFonts w:ascii="Times New Roman" w:hAnsi="Times New Roman" w:cs="Times New Roman"/>
          <w:sz w:val="24"/>
          <w:szCs w:val="24"/>
        </w:rPr>
        <w:t xml:space="preserve"> in terms of providing effective remedies to claimants.</w:t>
      </w:r>
      <w:r w:rsidR="00F93EF5" w:rsidRPr="00E07B7E">
        <w:rPr>
          <w:rFonts w:ascii="Times New Roman" w:hAnsi="Times New Roman" w:cs="Times New Roman"/>
          <w:sz w:val="24"/>
          <w:szCs w:val="24"/>
        </w:rPr>
        <w:t xml:space="preserve"> </w:t>
      </w:r>
      <w:r w:rsidR="00E10368" w:rsidRPr="00E07B7E">
        <w:rPr>
          <w:rFonts w:ascii="Times New Roman" w:hAnsi="Times New Roman" w:cs="Times New Roman"/>
          <w:sz w:val="24"/>
          <w:szCs w:val="24"/>
        </w:rPr>
        <w:t xml:space="preserve">It </w:t>
      </w:r>
      <w:r w:rsidR="000519CE">
        <w:rPr>
          <w:rFonts w:ascii="Times New Roman" w:hAnsi="Times New Roman" w:cs="Times New Roman"/>
          <w:sz w:val="24"/>
          <w:szCs w:val="24"/>
        </w:rPr>
        <w:t xml:space="preserve">is more demonstrably </w:t>
      </w:r>
      <w:r w:rsidR="00E10368" w:rsidRPr="00E07B7E">
        <w:rPr>
          <w:rFonts w:ascii="Times New Roman" w:hAnsi="Times New Roman" w:cs="Times New Roman"/>
          <w:sz w:val="24"/>
          <w:szCs w:val="24"/>
        </w:rPr>
        <w:t>transparen</w:t>
      </w:r>
      <w:r w:rsidR="0042755A">
        <w:rPr>
          <w:rFonts w:ascii="Times New Roman" w:hAnsi="Times New Roman" w:cs="Times New Roman"/>
          <w:sz w:val="24"/>
          <w:szCs w:val="24"/>
        </w:rPr>
        <w:t>t</w:t>
      </w:r>
      <w:r w:rsidR="00E10368" w:rsidRPr="00E07B7E">
        <w:rPr>
          <w:rFonts w:ascii="Times New Roman" w:hAnsi="Times New Roman" w:cs="Times New Roman"/>
          <w:sz w:val="24"/>
          <w:szCs w:val="24"/>
        </w:rPr>
        <w:t xml:space="preserve">, </w:t>
      </w:r>
      <w:proofErr w:type="gramStart"/>
      <w:r w:rsidR="000519CE">
        <w:rPr>
          <w:rFonts w:ascii="Times New Roman" w:hAnsi="Times New Roman" w:cs="Times New Roman"/>
          <w:sz w:val="24"/>
          <w:szCs w:val="24"/>
        </w:rPr>
        <w:t>accessible</w:t>
      </w:r>
      <w:proofErr w:type="gramEnd"/>
      <w:r w:rsidR="000519CE">
        <w:rPr>
          <w:rFonts w:ascii="Times New Roman" w:hAnsi="Times New Roman" w:cs="Times New Roman"/>
          <w:sz w:val="24"/>
          <w:szCs w:val="24"/>
        </w:rPr>
        <w:t xml:space="preserve"> </w:t>
      </w:r>
      <w:r w:rsidR="0042755A">
        <w:rPr>
          <w:rFonts w:ascii="Times New Roman" w:hAnsi="Times New Roman" w:cs="Times New Roman"/>
          <w:sz w:val="24"/>
          <w:szCs w:val="24"/>
        </w:rPr>
        <w:t xml:space="preserve">and </w:t>
      </w:r>
      <w:r w:rsidR="00BB3CFB">
        <w:rPr>
          <w:rFonts w:ascii="Times New Roman" w:hAnsi="Times New Roman" w:cs="Times New Roman"/>
          <w:sz w:val="24"/>
          <w:szCs w:val="24"/>
        </w:rPr>
        <w:t>equitable</w:t>
      </w:r>
      <w:r w:rsidR="0042755A">
        <w:rPr>
          <w:rFonts w:ascii="Times New Roman" w:hAnsi="Times New Roman" w:cs="Times New Roman"/>
          <w:sz w:val="24"/>
          <w:szCs w:val="24"/>
        </w:rPr>
        <w:t xml:space="preserve"> </w:t>
      </w:r>
      <w:r w:rsidR="000519CE">
        <w:rPr>
          <w:rFonts w:ascii="Times New Roman" w:hAnsi="Times New Roman" w:cs="Times New Roman"/>
          <w:sz w:val="24"/>
          <w:szCs w:val="24"/>
        </w:rPr>
        <w:t xml:space="preserve">than the </w:t>
      </w:r>
      <w:r w:rsidR="006247DC">
        <w:rPr>
          <w:rFonts w:ascii="Times New Roman" w:hAnsi="Times New Roman" w:cs="Times New Roman"/>
          <w:sz w:val="24"/>
          <w:szCs w:val="24"/>
        </w:rPr>
        <w:t xml:space="preserve">vast </w:t>
      </w:r>
      <w:r w:rsidR="000519CE">
        <w:rPr>
          <w:rFonts w:ascii="Times New Roman" w:hAnsi="Times New Roman" w:cs="Times New Roman"/>
          <w:sz w:val="24"/>
          <w:szCs w:val="24"/>
        </w:rPr>
        <w:t xml:space="preserve">majority of other NSBGMs. </w:t>
      </w:r>
      <w:r w:rsidR="006247DC">
        <w:rPr>
          <w:rFonts w:ascii="Times New Roman" w:hAnsi="Times New Roman" w:cs="Times New Roman"/>
          <w:sz w:val="24"/>
          <w:szCs w:val="24"/>
        </w:rPr>
        <w:t>It also performs comparatively well in terms of legitimacy and predictability.</w:t>
      </w:r>
      <w:r w:rsidR="0042755A">
        <w:rPr>
          <w:rFonts w:ascii="Times New Roman" w:hAnsi="Times New Roman" w:cs="Times New Roman"/>
          <w:sz w:val="24"/>
          <w:szCs w:val="24"/>
        </w:rPr>
        <w:t xml:space="preserve"> </w:t>
      </w:r>
      <w:r w:rsidR="00F93EF5" w:rsidRPr="00E07B7E">
        <w:rPr>
          <w:rFonts w:ascii="Times New Roman" w:hAnsi="Times New Roman" w:cs="Times New Roman"/>
          <w:sz w:val="24"/>
          <w:szCs w:val="24"/>
        </w:rPr>
        <w:t xml:space="preserve">But </w:t>
      </w:r>
      <w:r w:rsidR="00AF5D71">
        <w:rPr>
          <w:rFonts w:ascii="Times New Roman" w:hAnsi="Times New Roman" w:cs="Times New Roman"/>
          <w:sz w:val="24"/>
          <w:szCs w:val="24"/>
        </w:rPr>
        <w:t>our</w:t>
      </w:r>
      <w:r w:rsidR="00F93EF5" w:rsidRPr="00E07B7E">
        <w:rPr>
          <w:rFonts w:ascii="Times New Roman" w:hAnsi="Times New Roman" w:cs="Times New Roman"/>
          <w:sz w:val="24"/>
          <w:szCs w:val="24"/>
        </w:rPr>
        <w:t xml:space="preserve"> analy</w:t>
      </w:r>
      <w:r w:rsidR="00AF5D71">
        <w:rPr>
          <w:rFonts w:ascii="Times New Roman" w:hAnsi="Times New Roman" w:cs="Times New Roman"/>
          <w:sz w:val="24"/>
          <w:szCs w:val="24"/>
        </w:rPr>
        <w:t>sis</w:t>
      </w:r>
      <w:r w:rsidR="00F93EF5" w:rsidRPr="00E07B7E">
        <w:rPr>
          <w:rFonts w:ascii="Times New Roman" w:hAnsi="Times New Roman" w:cs="Times New Roman"/>
          <w:sz w:val="24"/>
          <w:szCs w:val="24"/>
        </w:rPr>
        <w:t xml:space="preserve"> </w:t>
      </w:r>
      <w:r w:rsidR="00AF5D71">
        <w:rPr>
          <w:rFonts w:ascii="Times New Roman" w:hAnsi="Times New Roman" w:cs="Times New Roman"/>
          <w:sz w:val="24"/>
          <w:szCs w:val="24"/>
        </w:rPr>
        <w:t>of</w:t>
      </w:r>
      <w:r w:rsidR="00F93EF5" w:rsidRPr="00E07B7E">
        <w:rPr>
          <w:rFonts w:ascii="Times New Roman" w:hAnsi="Times New Roman" w:cs="Times New Roman"/>
          <w:sz w:val="24"/>
          <w:szCs w:val="24"/>
        </w:rPr>
        <w:t xml:space="preserve"> the</w:t>
      </w:r>
      <w:r w:rsidR="00FA24F2">
        <w:rPr>
          <w:rFonts w:ascii="Times New Roman" w:hAnsi="Times New Roman" w:cs="Times New Roman"/>
          <w:sz w:val="24"/>
          <w:szCs w:val="24"/>
        </w:rPr>
        <w:t xml:space="preserve"> substantive remedies</w:t>
      </w:r>
      <w:r w:rsidR="00AF5D71">
        <w:rPr>
          <w:rFonts w:ascii="Times New Roman" w:hAnsi="Times New Roman" w:cs="Times New Roman"/>
          <w:sz w:val="24"/>
          <w:szCs w:val="24"/>
        </w:rPr>
        <w:t xml:space="preserve"> achieved for</w:t>
      </w:r>
      <w:r w:rsidR="00F93EF5" w:rsidRPr="00E07B7E">
        <w:rPr>
          <w:rFonts w:ascii="Times New Roman" w:hAnsi="Times New Roman" w:cs="Times New Roman"/>
          <w:sz w:val="24"/>
          <w:szCs w:val="24"/>
        </w:rPr>
        <w:t xml:space="preserve"> </w:t>
      </w:r>
      <w:r w:rsidR="00AF5D71">
        <w:rPr>
          <w:rFonts w:ascii="Times New Roman" w:hAnsi="Times New Roman" w:cs="Times New Roman"/>
          <w:sz w:val="24"/>
          <w:szCs w:val="24"/>
        </w:rPr>
        <w:t xml:space="preserve">rightsholders in practice confirms concerns raised in the literature that </w:t>
      </w:r>
      <w:r w:rsidR="00AF5D71" w:rsidRPr="00AF5D71">
        <w:rPr>
          <w:rFonts w:ascii="Times New Roman" w:hAnsi="Times New Roman" w:cs="Times New Roman"/>
          <w:bCs/>
          <w:sz w:val="24"/>
          <w:szCs w:val="24"/>
          <w:lang w:val="en-GB"/>
        </w:rPr>
        <w:t xml:space="preserve">focusing on the </w:t>
      </w:r>
      <w:r w:rsidR="00AF5D71" w:rsidRPr="00AF5D71">
        <w:rPr>
          <w:rFonts w:ascii="Times New Roman" w:hAnsi="Times New Roman" w:cs="Times New Roman"/>
          <w:bCs/>
          <w:i/>
          <w:sz w:val="24"/>
          <w:szCs w:val="24"/>
          <w:lang w:val="en-GB"/>
        </w:rPr>
        <w:t>process</w:t>
      </w:r>
      <w:r w:rsidR="00AF5D71" w:rsidRPr="00AF5D71">
        <w:rPr>
          <w:rFonts w:ascii="Times New Roman" w:hAnsi="Times New Roman" w:cs="Times New Roman"/>
          <w:bCs/>
          <w:sz w:val="24"/>
          <w:szCs w:val="24"/>
          <w:lang w:val="en-GB"/>
        </w:rPr>
        <w:t xml:space="preserve"> of how an NSBGM operates may marginalise the more </w:t>
      </w:r>
      <w:r w:rsidR="00AF5D71" w:rsidRPr="00AF5D71">
        <w:rPr>
          <w:rFonts w:ascii="Times New Roman" w:hAnsi="Times New Roman" w:cs="Times New Roman"/>
          <w:bCs/>
          <w:sz w:val="24"/>
          <w:szCs w:val="24"/>
          <w:lang w:val="en-GB"/>
        </w:rPr>
        <w:lastRenderedPageBreak/>
        <w:t xml:space="preserve">fundamental question of </w:t>
      </w:r>
      <w:r w:rsidR="00AF5D71" w:rsidRPr="006A3B66">
        <w:rPr>
          <w:rFonts w:ascii="Times New Roman" w:hAnsi="Times New Roman"/>
          <w:sz w:val="24"/>
          <w:lang w:val="en-GB"/>
        </w:rPr>
        <w:t xml:space="preserve">what </w:t>
      </w:r>
      <w:r w:rsidR="00AF5D71" w:rsidRPr="00AF5D71">
        <w:rPr>
          <w:rFonts w:ascii="Times New Roman" w:hAnsi="Times New Roman" w:cs="Times New Roman"/>
          <w:bCs/>
          <w:i/>
          <w:sz w:val="24"/>
          <w:szCs w:val="24"/>
          <w:lang w:val="en-GB"/>
        </w:rPr>
        <w:t>outcomes</w:t>
      </w:r>
      <w:r w:rsidR="00AF5D71" w:rsidRPr="00AF5D71">
        <w:rPr>
          <w:rFonts w:ascii="Times New Roman" w:hAnsi="Times New Roman" w:cs="Times New Roman"/>
          <w:bCs/>
          <w:sz w:val="24"/>
          <w:szCs w:val="24"/>
          <w:lang w:val="en-GB"/>
        </w:rPr>
        <w:t xml:space="preserve"> are actually achieved</w:t>
      </w:r>
      <w:r w:rsidR="00AF5D71" w:rsidRPr="006A3B66">
        <w:rPr>
          <w:rFonts w:ascii="Times New Roman" w:hAnsi="Times New Roman"/>
          <w:sz w:val="24"/>
          <w:lang w:val="en-GB"/>
        </w:rPr>
        <w:t xml:space="preserve"> for </w:t>
      </w:r>
      <w:r w:rsidR="00AF5D71" w:rsidRPr="00AF5D71">
        <w:rPr>
          <w:rFonts w:ascii="Times New Roman" w:hAnsi="Times New Roman" w:cs="Times New Roman"/>
          <w:bCs/>
          <w:sz w:val="24"/>
          <w:szCs w:val="24"/>
          <w:lang w:val="en-GB"/>
        </w:rPr>
        <w:t>rightsholders</w:t>
      </w:r>
      <w:r w:rsidR="00466481">
        <w:rPr>
          <w:rFonts w:ascii="Times New Roman" w:hAnsi="Times New Roman" w:cs="Times New Roman"/>
          <w:bCs/>
          <w:sz w:val="24"/>
          <w:szCs w:val="24"/>
          <w:lang w:val="en-GB"/>
        </w:rPr>
        <w:t>.</w:t>
      </w:r>
      <w:r w:rsidR="00B77B3A" w:rsidRPr="00B77B3A">
        <w:rPr>
          <w:rFonts w:ascii="Times New Roman" w:hAnsi="Times New Roman" w:cs="Times New Roman"/>
          <w:sz w:val="24"/>
          <w:szCs w:val="24"/>
          <w:vertAlign w:val="superscript"/>
        </w:rPr>
        <w:t xml:space="preserve"> </w:t>
      </w:r>
      <w:r w:rsidR="00B77B3A" w:rsidRPr="00AF5D71">
        <w:rPr>
          <w:rFonts w:ascii="Times New Roman" w:hAnsi="Times New Roman" w:cs="Times New Roman"/>
          <w:sz w:val="24"/>
          <w:szCs w:val="24"/>
          <w:vertAlign w:val="superscript"/>
        </w:rPr>
        <w:footnoteReference w:id="101"/>
      </w:r>
      <w:r w:rsidR="00B77B3A" w:rsidRPr="00E07B7E">
        <w:rPr>
          <w:rFonts w:ascii="Times New Roman" w:hAnsi="Times New Roman" w:cs="Times New Roman"/>
          <w:sz w:val="24"/>
          <w:szCs w:val="24"/>
        </w:rPr>
        <w:t xml:space="preserve"> </w:t>
      </w:r>
      <w:r w:rsidR="00B77B3A" w:rsidRPr="006A3B66">
        <w:rPr>
          <w:rFonts w:ascii="Times New Roman" w:hAnsi="Times New Roman"/>
          <w:sz w:val="24"/>
          <w:lang w:val="en-GB"/>
        </w:rPr>
        <w:t xml:space="preserve"> </w:t>
      </w:r>
      <w:r w:rsidR="007A30BB" w:rsidRPr="007A30BB">
        <w:rPr>
          <w:rFonts w:ascii="Times New Roman" w:hAnsi="Times New Roman" w:cs="Times New Roman"/>
          <w:bCs/>
          <w:sz w:val="24"/>
          <w:szCs w:val="24"/>
        </w:rPr>
        <w:t xml:space="preserve">Only one case in the ten-year history of the mechanism is a clear adjudicative win providing a remedy for rightsholders, and that came after a long, time-consuming fight on an issue that appeared to be clear cut in the claimants’ favor.  Even after the victory, with community land still untouched by the planation, there are serious allegations that the company has used unfair pressure tactics to undo the result. </w:t>
      </w:r>
      <w:r w:rsidR="00B77B3A">
        <w:rPr>
          <w:rFonts w:ascii="Times New Roman" w:hAnsi="Times New Roman" w:cs="Times New Roman"/>
          <w:bCs/>
          <w:sz w:val="24"/>
          <w:szCs w:val="24"/>
          <w:lang w:val="en-GB"/>
        </w:rPr>
        <w:t xml:space="preserve">Our case </w:t>
      </w:r>
      <w:r w:rsidR="007A30BB">
        <w:rPr>
          <w:rFonts w:ascii="Times New Roman" w:hAnsi="Times New Roman" w:cs="Times New Roman"/>
          <w:bCs/>
          <w:sz w:val="24"/>
          <w:szCs w:val="24"/>
          <w:lang w:val="en-GB"/>
        </w:rPr>
        <w:t>study therefore provides</w:t>
      </w:r>
      <w:r w:rsidR="00B77B3A">
        <w:rPr>
          <w:rFonts w:ascii="Times New Roman" w:hAnsi="Times New Roman" w:cs="Times New Roman"/>
          <w:bCs/>
          <w:sz w:val="24"/>
          <w:szCs w:val="24"/>
          <w:lang w:val="en-GB"/>
        </w:rPr>
        <w:t xml:space="preserve"> evidence to support the claim </w:t>
      </w:r>
      <w:r w:rsidR="00B77B3A">
        <w:rPr>
          <w:rFonts w:ascii="Times New Roman" w:hAnsi="Times New Roman" w:cs="Times New Roman"/>
          <w:sz w:val="24"/>
          <w:szCs w:val="24"/>
        </w:rPr>
        <w:t>that an NSBGM which</w:t>
      </w:r>
      <w:r w:rsidR="00AF5D71" w:rsidRPr="00AF5D71">
        <w:rPr>
          <w:rFonts w:ascii="Times New Roman" w:hAnsi="Times New Roman" w:cs="Times New Roman"/>
          <w:sz w:val="24"/>
          <w:szCs w:val="24"/>
        </w:rPr>
        <w:t xml:space="preserve"> meets the standards of procedural fairness demanded by the UNGPs </w:t>
      </w:r>
      <w:r w:rsidR="00FA24F2">
        <w:rPr>
          <w:rFonts w:ascii="Times New Roman" w:hAnsi="Times New Roman" w:cs="Times New Roman"/>
          <w:sz w:val="24"/>
          <w:szCs w:val="24"/>
        </w:rPr>
        <w:t xml:space="preserve">effectiveness criteria </w:t>
      </w:r>
      <w:r w:rsidR="00AF5D71" w:rsidRPr="00AF5D71">
        <w:rPr>
          <w:rFonts w:ascii="Times New Roman" w:hAnsi="Times New Roman" w:cs="Times New Roman"/>
          <w:sz w:val="24"/>
          <w:szCs w:val="24"/>
        </w:rPr>
        <w:t>might still fail to provide an effective remedy for claimants</w:t>
      </w:r>
      <w:r w:rsidR="006247DC">
        <w:rPr>
          <w:rFonts w:ascii="Times New Roman" w:hAnsi="Times New Roman" w:cs="Times New Roman"/>
          <w:sz w:val="24"/>
          <w:szCs w:val="24"/>
        </w:rPr>
        <w:t>.</w:t>
      </w:r>
      <w:r w:rsidR="007A30BB">
        <w:rPr>
          <w:rStyle w:val="FootnoteReference"/>
          <w:rFonts w:ascii="Times New Roman" w:hAnsi="Times New Roman" w:cs="Times New Roman"/>
          <w:sz w:val="24"/>
          <w:szCs w:val="24"/>
        </w:rPr>
        <w:footnoteReference w:id="102"/>
      </w:r>
      <w:r w:rsidR="006247DC">
        <w:rPr>
          <w:rFonts w:ascii="Times New Roman" w:hAnsi="Times New Roman" w:cs="Times New Roman"/>
          <w:sz w:val="24"/>
          <w:szCs w:val="24"/>
        </w:rPr>
        <w:t xml:space="preserve"> T</w:t>
      </w:r>
      <w:r w:rsidR="007A30BB">
        <w:rPr>
          <w:rFonts w:ascii="Times New Roman" w:hAnsi="Times New Roman" w:cs="Times New Roman"/>
          <w:sz w:val="24"/>
          <w:szCs w:val="24"/>
        </w:rPr>
        <w:t xml:space="preserve">he corollary of this is that future studies of the effectiveness of NSBGSMs must focus at least as much on outcomes as on processes. </w:t>
      </w:r>
      <w:r w:rsidR="00BB3CFB">
        <w:rPr>
          <w:rFonts w:ascii="Times New Roman" w:hAnsi="Times New Roman" w:cs="Times New Roman"/>
          <w:sz w:val="24"/>
          <w:szCs w:val="24"/>
        </w:rPr>
        <w:t>But t</w:t>
      </w:r>
      <w:r w:rsidR="00B77B3A">
        <w:rPr>
          <w:rFonts w:ascii="Times New Roman" w:hAnsi="Times New Roman" w:cs="Times New Roman"/>
          <w:sz w:val="24"/>
          <w:szCs w:val="24"/>
        </w:rPr>
        <w:t xml:space="preserve">here are </w:t>
      </w:r>
      <w:r w:rsidR="007A30BB">
        <w:rPr>
          <w:rFonts w:ascii="Times New Roman" w:hAnsi="Times New Roman" w:cs="Times New Roman"/>
          <w:sz w:val="24"/>
          <w:szCs w:val="24"/>
        </w:rPr>
        <w:t xml:space="preserve">also </w:t>
      </w:r>
      <w:proofErr w:type="gramStart"/>
      <w:r w:rsidR="00B77B3A">
        <w:rPr>
          <w:rFonts w:ascii="Times New Roman" w:hAnsi="Times New Roman" w:cs="Times New Roman"/>
          <w:sz w:val="24"/>
          <w:szCs w:val="24"/>
        </w:rPr>
        <w:t>a number of</w:t>
      </w:r>
      <w:proofErr w:type="gramEnd"/>
      <w:r w:rsidR="00B77B3A">
        <w:rPr>
          <w:rFonts w:ascii="Times New Roman" w:hAnsi="Times New Roman" w:cs="Times New Roman"/>
          <w:sz w:val="24"/>
          <w:szCs w:val="24"/>
        </w:rPr>
        <w:t xml:space="preserve"> more nuanced ways in which our findings speak </w:t>
      </w:r>
      <w:r w:rsidR="00C60D60">
        <w:rPr>
          <w:rFonts w:ascii="Times New Roman" w:hAnsi="Times New Roman" w:cs="Times New Roman"/>
          <w:sz w:val="24"/>
          <w:szCs w:val="24"/>
        </w:rPr>
        <w:t xml:space="preserve">to the </w:t>
      </w:r>
      <w:r w:rsidR="007A30BB">
        <w:rPr>
          <w:rFonts w:ascii="Times New Roman" w:hAnsi="Times New Roman" w:cs="Times New Roman"/>
          <w:sz w:val="24"/>
          <w:szCs w:val="24"/>
        </w:rPr>
        <w:t>way such studies should be conducted</w:t>
      </w:r>
      <w:r w:rsidR="00C60D60">
        <w:rPr>
          <w:rFonts w:ascii="Times New Roman" w:hAnsi="Times New Roman" w:cs="Times New Roman"/>
          <w:sz w:val="24"/>
          <w:szCs w:val="24"/>
        </w:rPr>
        <w:t xml:space="preserve">. </w:t>
      </w:r>
    </w:p>
    <w:p w14:paraId="789783BB" w14:textId="0DA9AA92" w:rsidR="003B4295" w:rsidRDefault="007A30BB"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First, our study speaks to the importance of investigating carefully </w:t>
      </w:r>
      <w:r w:rsidR="003B4295">
        <w:rPr>
          <w:rFonts w:ascii="Times New Roman" w:hAnsi="Times New Roman" w:cs="Times New Roman"/>
          <w:sz w:val="24"/>
          <w:szCs w:val="24"/>
        </w:rPr>
        <w:t>how and why outcomes occurred as they did</w:t>
      </w:r>
      <w:r>
        <w:rPr>
          <w:rFonts w:ascii="Times New Roman" w:hAnsi="Times New Roman" w:cs="Times New Roman"/>
          <w:sz w:val="24"/>
          <w:szCs w:val="24"/>
        </w:rPr>
        <w:t xml:space="preserve">. </w:t>
      </w:r>
      <w:r w:rsidR="006247DC">
        <w:rPr>
          <w:rFonts w:ascii="Times New Roman" w:hAnsi="Times New Roman" w:cs="Times New Roman"/>
          <w:sz w:val="24"/>
          <w:szCs w:val="24"/>
        </w:rPr>
        <w:t>I</w:t>
      </w:r>
      <w:r w:rsidR="003B4295">
        <w:rPr>
          <w:rFonts w:ascii="Times New Roman" w:hAnsi="Times New Roman" w:cs="Times New Roman"/>
          <w:sz w:val="24"/>
          <w:szCs w:val="24"/>
        </w:rPr>
        <w:t>n our case study,</w:t>
      </w:r>
      <w:r w:rsidR="00F93EF5" w:rsidRPr="00E07B7E">
        <w:rPr>
          <w:rFonts w:ascii="Times New Roman" w:hAnsi="Times New Roman" w:cs="Times New Roman"/>
          <w:sz w:val="24"/>
          <w:szCs w:val="24"/>
        </w:rPr>
        <w:t xml:space="preserve"> there were a significant number of cases in which RSPO ruled against its member companies. </w:t>
      </w:r>
      <w:r w:rsidR="00AD34A7" w:rsidRPr="00EF73A3">
        <w:rPr>
          <w:rFonts w:ascii="Times New Roman" w:hAnsi="Times New Roman" w:cs="Times New Roman"/>
          <w:sz w:val="24"/>
          <w:szCs w:val="24"/>
        </w:rPr>
        <w:t xml:space="preserve">This would indicate a process which can validate legitimate claims. </w:t>
      </w:r>
      <w:r w:rsidR="001D7F07">
        <w:rPr>
          <w:rFonts w:ascii="Times New Roman" w:hAnsi="Times New Roman" w:cs="Times New Roman"/>
          <w:sz w:val="24"/>
          <w:szCs w:val="24"/>
        </w:rPr>
        <w:t>However, t</w:t>
      </w:r>
      <w:r w:rsidR="00AD34A7">
        <w:rPr>
          <w:rFonts w:ascii="Times New Roman" w:hAnsi="Times New Roman" w:cs="Times New Roman"/>
          <w:sz w:val="24"/>
          <w:szCs w:val="24"/>
        </w:rPr>
        <w:t xml:space="preserve">he </w:t>
      </w:r>
      <w:r w:rsidR="00207605">
        <w:rPr>
          <w:rFonts w:ascii="Times New Roman" w:hAnsi="Times New Roman" w:cs="Times New Roman"/>
          <w:sz w:val="24"/>
          <w:szCs w:val="24"/>
        </w:rPr>
        <w:t>action</w:t>
      </w:r>
      <w:r w:rsidR="00AD34A7">
        <w:rPr>
          <w:rFonts w:ascii="Times New Roman" w:hAnsi="Times New Roman" w:cs="Times New Roman"/>
          <w:sz w:val="24"/>
          <w:szCs w:val="24"/>
        </w:rPr>
        <w:t xml:space="preserve"> </w:t>
      </w:r>
      <w:r w:rsidR="00343862">
        <w:rPr>
          <w:rFonts w:ascii="Times New Roman" w:hAnsi="Times New Roman" w:cs="Times New Roman"/>
          <w:sz w:val="24"/>
          <w:szCs w:val="24"/>
        </w:rPr>
        <w:t>that</w:t>
      </w:r>
      <w:r w:rsidR="00207605">
        <w:rPr>
          <w:rFonts w:ascii="Times New Roman" w:hAnsi="Times New Roman" w:cs="Times New Roman"/>
          <w:sz w:val="24"/>
          <w:szCs w:val="24"/>
        </w:rPr>
        <w:t xml:space="preserve"> </w:t>
      </w:r>
      <w:r w:rsidR="00AD34A7">
        <w:rPr>
          <w:rFonts w:ascii="Times New Roman" w:hAnsi="Times New Roman" w:cs="Times New Roman"/>
          <w:sz w:val="24"/>
          <w:szCs w:val="24"/>
        </w:rPr>
        <w:t>follow</w:t>
      </w:r>
      <w:r w:rsidR="003B4295">
        <w:rPr>
          <w:rFonts w:ascii="Times New Roman" w:hAnsi="Times New Roman" w:cs="Times New Roman"/>
          <w:sz w:val="24"/>
          <w:szCs w:val="24"/>
        </w:rPr>
        <w:t>ed</w:t>
      </w:r>
      <w:r w:rsidR="00AD34A7">
        <w:rPr>
          <w:rFonts w:ascii="Times New Roman" w:hAnsi="Times New Roman" w:cs="Times New Roman"/>
          <w:sz w:val="24"/>
          <w:szCs w:val="24"/>
        </w:rPr>
        <w:t xml:space="preserve"> on from </w:t>
      </w:r>
      <w:r w:rsidR="00207605">
        <w:rPr>
          <w:rFonts w:ascii="Times New Roman" w:hAnsi="Times New Roman" w:cs="Times New Roman"/>
          <w:sz w:val="24"/>
          <w:szCs w:val="24"/>
        </w:rPr>
        <w:t xml:space="preserve">a </w:t>
      </w:r>
      <w:r w:rsidR="00AD34A7">
        <w:rPr>
          <w:rFonts w:ascii="Times New Roman" w:hAnsi="Times New Roman" w:cs="Times New Roman"/>
          <w:sz w:val="24"/>
          <w:szCs w:val="24"/>
        </w:rPr>
        <w:t xml:space="preserve">successful </w:t>
      </w:r>
      <w:r w:rsidR="000D5AB6">
        <w:rPr>
          <w:rFonts w:ascii="Times New Roman" w:hAnsi="Times New Roman" w:cs="Times New Roman"/>
          <w:sz w:val="24"/>
          <w:szCs w:val="24"/>
        </w:rPr>
        <w:t>claim</w:t>
      </w:r>
      <w:r w:rsidR="00AD34A7">
        <w:rPr>
          <w:rFonts w:ascii="Times New Roman" w:hAnsi="Times New Roman" w:cs="Times New Roman"/>
          <w:sz w:val="24"/>
          <w:szCs w:val="24"/>
        </w:rPr>
        <w:t xml:space="preserve"> </w:t>
      </w:r>
      <w:r w:rsidR="003B4295">
        <w:rPr>
          <w:rFonts w:ascii="Times New Roman" w:hAnsi="Times New Roman" w:cs="Times New Roman"/>
          <w:sz w:val="24"/>
          <w:szCs w:val="24"/>
        </w:rPr>
        <w:t>wa</w:t>
      </w:r>
      <w:r w:rsidR="00207605">
        <w:rPr>
          <w:rFonts w:ascii="Times New Roman" w:hAnsi="Times New Roman" w:cs="Times New Roman"/>
          <w:sz w:val="24"/>
          <w:szCs w:val="24"/>
        </w:rPr>
        <w:t>s</w:t>
      </w:r>
      <w:r w:rsidR="00AD34A7">
        <w:rPr>
          <w:rFonts w:ascii="Times New Roman" w:hAnsi="Times New Roman" w:cs="Times New Roman"/>
          <w:sz w:val="24"/>
          <w:szCs w:val="24"/>
        </w:rPr>
        <w:t xml:space="preserve"> </w:t>
      </w:r>
      <w:r w:rsidR="001757A8">
        <w:rPr>
          <w:rFonts w:ascii="Times New Roman" w:hAnsi="Times New Roman" w:cs="Times New Roman"/>
          <w:sz w:val="24"/>
          <w:szCs w:val="24"/>
        </w:rPr>
        <w:t xml:space="preserve">inherently </w:t>
      </w:r>
      <w:r w:rsidR="00AD34A7">
        <w:rPr>
          <w:rFonts w:ascii="Times New Roman" w:hAnsi="Times New Roman" w:cs="Times New Roman"/>
          <w:sz w:val="24"/>
          <w:szCs w:val="24"/>
        </w:rPr>
        <w:t>limited</w:t>
      </w:r>
      <w:r w:rsidR="00207605">
        <w:rPr>
          <w:rFonts w:ascii="Times New Roman" w:hAnsi="Times New Roman" w:cs="Times New Roman"/>
          <w:sz w:val="24"/>
          <w:szCs w:val="24"/>
        </w:rPr>
        <w:t xml:space="preserve">, and undoubtedly could not </w:t>
      </w:r>
      <w:proofErr w:type="gramStart"/>
      <w:r w:rsidR="00207605">
        <w:rPr>
          <w:rFonts w:ascii="Times New Roman" w:hAnsi="Times New Roman" w:cs="Times New Roman"/>
          <w:sz w:val="24"/>
          <w:szCs w:val="24"/>
        </w:rPr>
        <w:t xml:space="preserve">be considered </w:t>
      </w:r>
      <w:r w:rsidR="001757A8">
        <w:rPr>
          <w:rFonts w:ascii="Times New Roman" w:hAnsi="Times New Roman" w:cs="Times New Roman"/>
          <w:sz w:val="24"/>
          <w:szCs w:val="24"/>
        </w:rPr>
        <w:t>to be</w:t>
      </w:r>
      <w:proofErr w:type="gramEnd"/>
      <w:r w:rsidR="001757A8">
        <w:rPr>
          <w:rFonts w:ascii="Times New Roman" w:hAnsi="Times New Roman" w:cs="Times New Roman"/>
          <w:sz w:val="24"/>
          <w:szCs w:val="24"/>
        </w:rPr>
        <w:t xml:space="preserve"> </w:t>
      </w:r>
      <w:r w:rsidR="001D7F07">
        <w:rPr>
          <w:rFonts w:ascii="Times New Roman" w:hAnsi="Times New Roman" w:cs="Times New Roman"/>
          <w:sz w:val="24"/>
          <w:szCs w:val="24"/>
        </w:rPr>
        <w:t xml:space="preserve">capable of providing </w:t>
      </w:r>
      <w:r w:rsidR="00207605">
        <w:rPr>
          <w:rFonts w:ascii="Times New Roman" w:hAnsi="Times New Roman" w:cs="Times New Roman"/>
          <w:sz w:val="24"/>
          <w:szCs w:val="24"/>
        </w:rPr>
        <w:t xml:space="preserve">effective </w:t>
      </w:r>
      <w:r w:rsidR="001D7F07">
        <w:rPr>
          <w:rFonts w:ascii="Times New Roman" w:hAnsi="Times New Roman" w:cs="Times New Roman"/>
          <w:sz w:val="24"/>
          <w:szCs w:val="24"/>
        </w:rPr>
        <w:t xml:space="preserve">remedy </w:t>
      </w:r>
      <w:r w:rsidR="00207605">
        <w:rPr>
          <w:rFonts w:ascii="Times New Roman" w:hAnsi="Times New Roman" w:cs="Times New Roman"/>
          <w:sz w:val="24"/>
          <w:szCs w:val="24"/>
        </w:rPr>
        <w:t xml:space="preserve">in terms of providing appropriate </w:t>
      </w:r>
      <w:r w:rsidR="001D7F07">
        <w:rPr>
          <w:rFonts w:ascii="Times New Roman" w:hAnsi="Times New Roman" w:cs="Times New Roman"/>
          <w:sz w:val="24"/>
          <w:szCs w:val="24"/>
        </w:rPr>
        <w:t>outcomes</w:t>
      </w:r>
      <w:r w:rsidR="00207605">
        <w:rPr>
          <w:rFonts w:ascii="Times New Roman" w:hAnsi="Times New Roman" w:cs="Times New Roman"/>
          <w:sz w:val="24"/>
          <w:szCs w:val="24"/>
        </w:rPr>
        <w:t xml:space="preserve"> to all claimants</w:t>
      </w:r>
      <w:r w:rsidR="00AD34A7">
        <w:rPr>
          <w:rFonts w:ascii="Times New Roman" w:hAnsi="Times New Roman" w:cs="Times New Roman"/>
          <w:sz w:val="24"/>
          <w:szCs w:val="24"/>
        </w:rPr>
        <w:t>. Complaints panels cannot</w:t>
      </w:r>
      <w:r w:rsidR="00207605">
        <w:rPr>
          <w:rFonts w:ascii="Times New Roman" w:hAnsi="Times New Roman" w:cs="Times New Roman"/>
          <w:sz w:val="24"/>
          <w:szCs w:val="24"/>
        </w:rPr>
        <w:t>, for instance,</w:t>
      </w:r>
      <w:r w:rsidR="00AD34A7">
        <w:rPr>
          <w:rFonts w:ascii="Times New Roman" w:hAnsi="Times New Roman" w:cs="Times New Roman"/>
          <w:sz w:val="24"/>
          <w:szCs w:val="24"/>
        </w:rPr>
        <w:t xml:space="preserve"> award monetary compensation or provide any form of restitution. </w:t>
      </w:r>
      <w:r w:rsidR="005B07BA">
        <w:rPr>
          <w:rFonts w:ascii="Times New Roman" w:hAnsi="Times New Roman" w:cs="Times New Roman"/>
          <w:sz w:val="24"/>
          <w:szCs w:val="24"/>
        </w:rPr>
        <w:t xml:space="preserve">The range of elements identified by the UN Working Group as integral to the provision of </w:t>
      </w:r>
      <w:r w:rsidR="005B07BA" w:rsidRPr="00162573">
        <w:rPr>
          <w:rFonts w:ascii="Times New Roman" w:hAnsi="Times New Roman" w:cs="Times New Roman"/>
          <w:sz w:val="24"/>
          <w:szCs w:val="24"/>
        </w:rPr>
        <w:t xml:space="preserve">effective remedy </w:t>
      </w:r>
      <w:r w:rsidR="005B07BA">
        <w:rPr>
          <w:rFonts w:ascii="Times New Roman" w:hAnsi="Times New Roman" w:cs="Times New Roman"/>
          <w:sz w:val="24"/>
          <w:szCs w:val="24"/>
        </w:rPr>
        <w:t>are certainly not therefore available the RSPO process</w:t>
      </w:r>
      <w:r w:rsidR="005B07BA" w:rsidRPr="00162573">
        <w:rPr>
          <w:rFonts w:ascii="Times New Roman" w:hAnsi="Times New Roman" w:cs="Times New Roman"/>
          <w:sz w:val="24"/>
          <w:szCs w:val="24"/>
        </w:rPr>
        <w:t>.</w:t>
      </w:r>
      <w:r w:rsidR="005B07BA" w:rsidRPr="00162573">
        <w:rPr>
          <w:rStyle w:val="FootnoteReference"/>
          <w:rFonts w:ascii="Times New Roman" w:hAnsi="Times New Roman" w:cs="Times New Roman"/>
          <w:sz w:val="24"/>
          <w:szCs w:val="24"/>
        </w:rPr>
        <w:footnoteReference w:id="103"/>
      </w:r>
      <w:r w:rsidR="0052102B">
        <w:rPr>
          <w:rFonts w:ascii="Times New Roman" w:hAnsi="Times New Roman" w:cs="Times New Roman"/>
          <w:sz w:val="24"/>
          <w:szCs w:val="24"/>
        </w:rPr>
        <w:t xml:space="preserve"> </w:t>
      </w:r>
      <w:r w:rsidR="00AD34A7">
        <w:rPr>
          <w:rFonts w:ascii="Times New Roman" w:hAnsi="Times New Roman" w:cs="Times New Roman"/>
          <w:sz w:val="24"/>
          <w:szCs w:val="24"/>
        </w:rPr>
        <w:t>Still, i</w:t>
      </w:r>
      <w:r w:rsidR="00F93EF5" w:rsidRPr="00E07B7E">
        <w:rPr>
          <w:rFonts w:ascii="Times New Roman" w:hAnsi="Times New Roman" w:cs="Times New Roman"/>
          <w:sz w:val="24"/>
          <w:szCs w:val="24"/>
        </w:rPr>
        <w:t>n a number of cases</w:t>
      </w:r>
      <w:r w:rsidR="00FA2EB8" w:rsidRPr="00E07B7E">
        <w:rPr>
          <w:rFonts w:ascii="Times New Roman" w:hAnsi="Times New Roman" w:cs="Times New Roman"/>
          <w:sz w:val="24"/>
          <w:szCs w:val="24"/>
        </w:rPr>
        <w:t xml:space="preserve">, </w:t>
      </w:r>
      <w:r w:rsidR="00F93EF5" w:rsidRPr="00E07B7E">
        <w:rPr>
          <w:rFonts w:ascii="Times New Roman" w:hAnsi="Times New Roman" w:cs="Times New Roman"/>
          <w:sz w:val="24"/>
          <w:szCs w:val="24"/>
        </w:rPr>
        <w:t>RSPO complaints panels</w:t>
      </w:r>
      <w:r w:rsidR="00FA2EB8" w:rsidRPr="00E07B7E">
        <w:rPr>
          <w:rFonts w:ascii="Times New Roman" w:hAnsi="Times New Roman" w:cs="Times New Roman"/>
          <w:sz w:val="24"/>
          <w:szCs w:val="24"/>
        </w:rPr>
        <w:t xml:space="preserve"> order</w:t>
      </w:r>
      <w:r w:rsidR="00F93EF5" w:rsidRPr="00E07B7E">
        <w:rPr>
          <w:rFonts w:ascii="Times New Roman" w:hAnsi="Times New Roman" w:cs="Times New Roman"/>
          <w:sz w:val="24"/>
          <w:szCs w:val="24"/>
        </w:rPr>
        <w:t>ed</w:t>
      </w:r>
      <w:r w:rsidR="00FA2EB8" w:rsidRPr="00E07B7E">
        <w:rPr>
          <w:rFonts w:ascii="Times New Roman" w:hAnsi="Times New Roman" w:cs="Times New Roman"/>
          <w:sz w:val="24"/>
          <w:szCs w:val="24"/>
        </w:rPr>
        <w:t xml:space="preserve"> remedies which </w:t>
      </w:r>
      <w:r w:rsidR="00F93EF5" w:rsidRPr="00E07B7E">
        <w:rPr>
          <w:rFonts w:ascii="Times New Roman" w:hAnsi="Times New Roman" w:cs="Times New Roman"/>
          <w:sz w:val="24"/>
          <w:szCs w:val="24"/>
        </w:rPr>
        <w:t xml:space="preserve">could have </w:t>
      </w:r>
      <w:r w:rsidR="00FA2EB8" w:rsidRPr="00E07B7E">
        <w:rPr>
          <w:rFonts w:ascii="Times New Roman" w:hAnsi="Times New Roman" w:cs="Times New Roman"/>
          <w:sz w:val="24"/>
          <w:szCs w:val="24"/>
        </w:rPr>
        <w:t>materially affect</w:t>
      </w:r>
      <w:r w:rsidR="00F93EF5" w:rsidRPr="00E07B7E">
        <w:rPr>
          <w:rFonts w:ascii="Times New Roman" w:hAnsi="Times New Roman" w:cs="Times New Roman"/>
          <w:sz w:val="24"/>
          <w:szCs w:val="24"/>
        </w:rPr>
        <w:t>ed</w:t>
      </w:r>
      <w:r w:rsidR="00FA2EB8" w:rsidRPr="00E07B7E">
        <w:rPr>
          <w:rFonts w:ascii="Times New Roman" w:hAnsi="Times New Roman" w:cs="Times New Roman"/>
          <w:sz w:val="24"/>
          <w:szCs w:val="24"/>
        </w:rPr>
        <w:t xml:space="preserve"> the lives of the people who brought the claims.</w:t>
      </w:r>
      <w:r w:rsidR="00AD34A7">
        <w:rPr>
          <w:rFonts w:ascii="Times New Roman" w:hAnsi="Times New Roman" w:cs="Times New Roman"/>
          <w:sz w:val="24"/>
          <w:szCs w:val="24"/>
        </w:rPr>
        <w:t xml:space="preserve"> </w:t>
      </w:r>
      <w:r w:rsidR="001D7F07">
        <w:rPr>
          <w:rFonts w:ascii="Times New Roman" w:hAnsi="Times New Roman" w:cs="Times New Roman"/>
          <w:sz w:val="24"/>
          <w:szCs w:val="24"/>
        </w:rPr>
        <w:t>I</w:t>
      </w:r>
      <w:r w:rsidR="00F56E94" w:rsidRPr="00E07B7E">
        <w:rPr>
          <w:rFonts w:ascii="Times New Roman" w:hAnsi="Times New Roman" w:cs="Times New Roman"/>
          <w:sz w:val="24"/>
          <w:szCs w:val="24"/>
        </w:rPr>
        <w:t>t</w:t>
      </w:r>
      <w:r w:rsidR="001D7F07">
        <w:rPr>
          <w:rFonts w:ascii="Times New Roman" w:hAnsi="Times New Roman" w:cs="Times New Roman"/>
          <w:sz w:val="24"/>
          <w:szCs w:val="24"/>
        </w:rPr>
        <w:t xml:space="preserve"> is </w:t>
      </w:r>
      <w:proofErr w:type="gramStart"/>
      <w:r w:rsidR="001D7F07">
        <w:rPr>
          <w:rFonts w:ascii="Times New Roman" w:hAnsi="Times New Roman" w:cs="Times New Roman"/>
          <w:sz w:val="24"/>
          <w:szCs w:val="24"/>
        </w:rPr>
        <w:t>its</w:t>
      </w:r>
      <w:proofErr w:type="gramEnd"/>
      <w:r w:rsidR="00F56E94" w:rsidRPr="00E07B7E">
        <w:rPr>
          <w:rFonts w:ascii="Times New Roman" w:hAnsi="Times New Roman" w:cs="Times New Roman"/>
          <w:sz w:val="24"/>
          <w:szCs w:val="24"/>
        </w:rPr>
        <w:t xml:space="preserve"> record on enforcing those</w:t>
      </w:r>
      <w:r w:rsidR="00D335FD" w:rsidRPr="00E07B7E">
        <w:rPr>
          <w:rFonts w:ascii="Times New Roman" w:hAnsi="Times New Roman" w:cs="Times New Roman"/>
          <w:sz w:val="24"/>
          <w:szCs w:val="24"/>
        </w:rPr>
        <w:t xml:space="preserve"> remedies </w:t>
      </w:r>
      <w:r w:rsidR="00F56E94" w:rsidRPr="00E07B7E">
        <w:rPr>
          <w:rFonts w:ascii="Times New Roman" w:hAnsi="Times New Roman" w:cs="Times New Roman"/>
          <w:sz w:val="24"/>
          <w:szCs w:val="24"/>
        </w:rPr>
        <w:t>in order to produce meaningful outcomes for claimants</w:t>
      </w:r>
      <w:r w:rsidR="00D335FD" w:rsidRPr="00E07B7E">
        <w:rPr>
          <w:rFonts w:ascii="Times New Roman" w:hAnsi="Times New Roman" w:cs="Times New Roman"/>
          <w:sz w:val="24"/>
          <w:szCs w:val="24"/>
        </w:rPr>
        <w:t xml:space="preserve"> </w:t>
      </w:r>
      <w:r w:rsidR="001D7F07">
        <w:rPr>
          <w:rFonts w:ascii="Times New Roman" w:hAnsi="Times New Roman" w:cs="Times New Roman"/>
          <w:sz w:val="24"/>
          <w:szCs w:val="24"/>
        </w:rPr>
        <w:t>which is arguably</w:t>
      </w:r>
      <w:r w:rsidR="00FA24F2">
        <w:rPr>
          <w:rFonts w:ascii="Times New Roman" w:hAnsi="Times New Roman" w:cs="Times New Roman"/>
          <w:sz w:val="24"/>
          <w:szCs w:val="24"/>
        </w:rPr>
        <w:t xml:space="preserve"> its biggest weakness</w:t>
      </w:r>
      <w:r w:rsidR="00176494">
        <w:rPr>
          <w:rFonts w:ascii="Times New Roman" w:hAnsi="Times New Roman" w:cs="Times New Roman"/>
          <w:sz w:val="24"/>
          <w:szCs w:val="24"/>
        </w:rPr>
        <w:t>.</w:t>
      </w:r>
    </w:p>
    <w:p w14:paraId="5363DD87" w14:textId="18A81841" w:rsidR="00161AFD" w:rsidRDefault="003B4295"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In those claims where there was an order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claimant, the most common reason for non-enforcement was because the company was no longer an RSPO member. In five of these cases the company quit RSPO or sold the plantation a</w:t>
      </w:r>
      <w:r w:rsidR="00031111">
        <w:rPr>
          <w:rFonts w:ascii="Times New Roman" w:hAnsi="Times New Roman" w:cs="Times New Roman"/>
          <w:sz w:val="24"/>
          <w:szCs w:val="24"/>
        </w:rPr>
        <w:t>t issue to a non-member company</w:t>
      </w:r>
      <w:r>
        <w:rPr>
          <w:rFonts w:ascii="Times New Roman" w:hAnsi="Times New Roman" w:cs="Times New Roman"/>
          <w:sz w:val="24"/>
          <w:szCs w:val="24"/>
        </w:rPr>
        <w:t>. In the other</w:t>
      </w:r>
      <w:r w:rsidRPr="00EF73A3">
        <w:rPr>
          <w:rFonts w:ascii="Times New Roman" w:hAnsi="Times New Roman" w:cs="Times New Roman"/>
          <w:sz w:val="24"/>
          <w:szCs w:val="24"/>
        </w:rPr>
        <w:t xml:space="preserve"> case, the </w:t>
      </w:r>
      <w:r>
        <w:rPr>
          <w:rFonts w:ascii="Times New Roman" w:hAnsi="Times New Roman" w:cs="Times New Roman"/>
          <w:sz w:val="24"/>
          <w:szCs w:val="24"/>
        </w:rPr>
        <w:t>C</w:t>
      </w:r>
      <w:r w:rsidRPr="00EF73A3">
        <w:rPr>
          <w:rFonts w:ascii="Times New Roman" w:hAnsi="Times New Roman" w:cs="Times New Roman"/>
          <w:sz w:val="24"/>
          <w:szCs w:val="24"/>
        </w:rPr>
        <w:t xml:space="preserve">omplaints </w:t>
      </w:r>
      <w:r>
        <w:rPr>
          <w:rFonts w:ascii="Times New Roman" w:hAnsi="Times New Roman" w:cs="Times New Roman"/>
          <w:sz w:val="24"/>
          <w:szCs w:val="24"/>
        </w:rPr>
        <w:t>P</w:t>
      </w:r>
      <w:r w:rsidRPr="00EF73A3">
        <w:rPr>
          <w:rFonts w:ascii="Times New Roman" w:hAnsi="Times New Roman" w:cs="Times New Roman"/>
          <w:sz w:val="24"/>
          <w:szCs w:val="24"/>
        </w:rPr>
        <w:t>anel withdrew the membership status o</w:t>
      </w:r>
      <w:r>
        <w:rPr>
          <w:rFonts w:ascii="Times New Roman" w:hAnsi="Times New Roman" w:cs="Times New Roman"/>
          <w:sz w:val="24"/>
          <w:szCs w:val="24"/>
        </w:rPr>
        <w:t xml:space="preserve">f the company. </w:t>
      </w:r>
      <w:r w:rsidRPr="00EF73A3">
        <w:rPr>
          <w:rFonts w:ascii="Times New Roman" w:hAnsi="Times New Roman" w:cs="Times New Roman"/>
          <w:sz w:val="24"/>
          <w:szCs w:val="24"/>
        </w:rPr>
        <w:t>This</w:t>
      </w:r>
      <w:r>
        <w:rPr>
          <w:rFonts w:ascii="Times New Roman" w:hAnsi="Times New Roman" w:cs="Times New Roman"/>
          <w:sz w:val="24"/>
          <w:szCs w:val="24"/>
        </w:rPr>
        <w:t xml:space="preserve"> result</w:t>
      </w:r>
      <w:r w:rsidRPr="00EF73A3">
        <w:rPr>
          <w:rFonts w:ascii="Times New Roman" w:hAnsi="Times New Roman" w:cs="Times New Roman"/>
          <w:sz w:val="24"/>
          <w:szCs w:val="24"/>
        </w:rPr>
        <w:t xml:space="preserve"> </w:t>
      </w:r>
      <w:r w:rsidRPr="00EF73A3">
        <w:rPr>
          <w:rFonts w:ascii="Times New Roman" w:hAnsi="Times New Roman" w:cs="Times New Roman"/>
          <w:sz w:val="24"/>
          <w:szCs w:val="24"/>
        </w:rPr>
        <w:lastRenderedPageBreak/>
        <w:t xml:space="preserve">may be </w:t>
      </w:r>
      <w:r>
        <w:rPr>
          <w:rFonts w:ascii="Times New Roman" w:hAnsi="Times New Roman" w:cs="Times New Roman"/>
          <w:sz w:val="24"/>
          <w:szCs w:val="24"/>
        </w:rPr>
        <w:t xml:space="preserve">considered effective in terms of </w:t>
      </w:r>
      <w:r w:rsidRPr="00EF73A3">
        <w:rPr>
          <w:rFonts w:ascii="Times New Roman" w:hAnsi="Times New Roman" w:cs="Times New Roman"/>
          <w:sz w:val="24"/>
          <w:szCs w:val="24"/>
        </w:rPr>
        <w:t>safeguard</w:t>
      </w:r>
      <w:r>
        <w:rPr>
          <w:rFonts w:ascii="Times New Roman" w:hAnsi="Times New Roman" w:cs="Times New Roman"/>
          <w:sz w:val="24"/>
          <w:szCs w:val="24"/>
        </w:rPr>
        <w:t>ing</w:t>
      </w:r>
      <w:r w:rsidRPr="00EF73A3">
        <w:rPr>
          <w:rFonts w:ascii="Times New Roman" w:hAnsi="Times New Roman" w:cs="Times New Roman"/>
          <w:sz w:val="24"/>
          <w:szCs w:val="24"/>
        </w:rPr>
        <w:t xml:space="preserve"> the legiti</w:t>
      </w:r>
      <w:r>
        <w:rPr>
          <w:rFonts w:ascii="Times New Roman" w:hAnsi="Times New Roman" w:cs="Times New Roman"/>
          <w:sz w:val="24"/>
          <w:szCs w:val="24"/>
        </w:rPr>
        <w:t xml:space="preserve">macy of RSPO’s certification process. But it does not provide any remedy, much less an effective remedy, to rightsholders that addresses their human rights issues. </w:t>
      </w:r>
      <w:r w:rsidR="00031111">
        <w:rPr>
          <w:rFonts w:ascii="Times New Roman" w:hAnsi="Times New Roman" w:cs="Times New Roman"/>
          <w:sz w:val="24"/>
          <w:szCs w:val="24"/>
        </w:rPr>
        <w:t xml:space="preserve">These situations demonstrate the limitations of a voluntary system where terminating membership is a genuine alternative to providing a remedy to rightsholders. </w:t>
      </w:r>
      <w:r>
        <w:rPr>
          <w:rFonts w:ascii="Times New Roman" w:hAnsi="Times New Roman" w:cs="Times New Roman"/>
          <w:sz w:val="24"/>
          <w:szCs w:val="24"/>
        </w:rPr>
        <w:t xml:space="preserve">The prevalence of these claims is significant. These are not rare cases or outliers, but a category which demonstrates a proven technique useful and effective for companies violating human rights; Leave the certification scheme and avoid having to provide a remedy. This is a clear limitation on any voluntary scheme in acting as an NSBGM: if a member company’s cost of departing the scheme is less than the cost of addressing a complaint, there are significant and proven dangers that many will leave the scheme. This is a problem which any voluntary scheme must solve in order become </w:t>
      </w:r>
      <w:r w:rsidR="00BB3CFB">
        <w:rPr>
          <w:rFonts w:ascii="Times New Roman" w:hAnsi="Times New Roman" w:cs="Times New Roman"/>
          <w:sz w:val="24"/>
          <w:szCs w:val="24"/>
        </w:rPr>
        <w:t xml:space="preserve">a </w:t>
      </w:r>
      <w:r>
        <w:rPr>
          <w:rFonts w:ascii="Times New Roman" w:hAnsi="Times New Roman" w:cs="Times New Roman"/>
          <w:sz w:val="24"/>
          <w:szCs w:val="24"/>
        </w:rPr>
        <w:t xml:space="preserve">genuine human rights NSBGM. It is also confirmation of the need to </w:t>
      </w:r>
      <w:proofErr w:type="gramStart"/>
      <w:r>
        <w:rPr>
          <w:rFonts w:ascii="Times New Roman" w:hAnsi="Times New Roman" w:cs="Times New Roman"/>
          <w:sz w:val="24"/>
          <w:szCs w:val="24"/>
        </w:rPr>
        <w:t xml:space="preserve">scrutinize </w:t>
      </w:r>
      <w:r w:rsidR="00031111">
        <w:rPr>
          <w:rFonts w:ascii="Times New Roman" w:hAnsi="Times New Roman" w:cs="Times New Roman"/>
          <w:sz w:val="24"/>
          <w:szCs w:val="24"/>
        </w:rPr>
        <w:t>carefully</w:t>
      </w:r>
      <w:proofErr w:type="gramEnd"/>
      <w:r w:rsidR="00031111">
        <w:rPr>
          <w:rFonts w:ascii="Times New Roman" w:hAnsi="Times New Roman" w:cs="Times New Roman"/>
          <w:sz w:val="24"/>
          <w:szCs w:val="24"/>
        </w:rPr>
        <w:t xml:space="preserve"> </w:t>
      </w:r>
      <w:r>
        <w:rPr>
          <w:rFonts w:ascii="Times New Roman" w:hAnsi="Times New Roman" w:cs="Times New Roman"/>
          <w:sz w:val="24"/>
          <w:szCs w:val="24"/>
        </w:rPr>
        <w:t>the power dynamics of any individual NSBGM in order to determine its capacity to achieve effective remedy.</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xml:space="preserve"> </w:t>
      </w:r>
      <w:r w:rsidR="00D335FD" w:rsidRPr="00E07B7E">
        <w:rPr>
          <w:rFonts w:ascii="Times New Roman" w:hAnsi="Times New Roman" w:cs="Times New Roman"/>
          <w:sz w:val="24"/>
          <w:szCs w:val="24"/>
        </w:rPr>
        <w:t xml:space="preserve"> </w:t>
      </w:r>
    </w:p>
    <w:p w14:paraId="2D1D78FA" w14:textId="0512CFDE" w:rsidR="00D76D30" w:rsidRPr="00EF73A3" w:rsidRDefault="003B4295"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In the other cases where orders were made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claimants, </w:t>
      </w:r>
      <w:r w:rsidR="00C96866">
        <w:rPr>
          <w:rFonts w:ascii="Times New Roman" w:hAnsi="Times New Roman" w:cs="Times New Roman"/>
          <w:sz w:val="24"/>
          <w:szCs w:val="24"/>
        </w:rPr>
        <w:t xml:space="preserve">a remedy has not yet been provided. </w:t>
      </w:r>
      <w:r w:rsidR="00D335FD" w:rsidRPr="00E07B7E">
        <w:rPr>
          <w:rFonts w:ascii="Times New Roman" w:hAnsi="Times New Roman" w:cs="Times New Roman"/>
          <w:sz w:val="24"/>
          <w:szCs w:val="24"/>
        </w:rPr>
        <w:t xml:space="preserve">There are </w:t>
      </w:r>
      <w:r w:rsidR="00F05B49" w:rsidRPr="00E07B7E">
        <w:rPr>
          <w:rFonts w:ascii="Times New Roman" w:hAnsi="Times New Roman" w:cs="Times New Roman"/>
          <w:sz w:val="24"/>
          <w:szCs w:val="24"/>
        </w:rPr>
        <w:t>two</w:t>
      </w:r>
      <w:r w:rsidR="00D335FD" w:rsidRPr="00E07B7E">
        <w:rPr>
          <w:rFonts w:ascii="Times New Roman" w:hAnsi="Times New Roman" w:cs="Times New Roman"/>
          <w:sz w:val="24"/>
          <w:szCs w:val="24"/>
        </w:rPr>
        <w:t xml:space="preserve"> claims still in process that </w:t>
      </w:r>
      <w:r w:rsidR="004A6B6E" w:rsidRPr="00E07B7E">
        <w:rPr>
          <w:rFonts w:ascii="Times New Roman" w:hAnsi="Times New Roman" w:cs="Times New Roman"/>
          <w:sz w:val="24"/>
          <w:szCs w:val="24"/>
        </w:rPr>
        <w:t>could</w:t>
      </w:r>
      <w:r w:rsidR="00D335FD" w:rsidRPr="00E07B7E">
        <w:rPr>
          <w:rFonts w:ascii="Times New Roman" w:hAnsi="Times New Roman" w:cs="Times New Roman"/>
          <w:sz w:val="24"/>
          <w:szCs w:val="24"/>
        </w:rPr>
        <w:t xml:space="preserve"> end as wins for the claim</w:t>
      </w:r>
      <w:r w:rsidR="00E10368" w:rsidRPr="00E07B7E">
        <w:rPr>
          <w:rFonts w:ascii="Times New Roman" w:hAnsi="Times New Roman" w:cs="Times New Roman"/>
          <w:sz w:val="24"/>
          <w:szCs w:val="24"/>
        </w:rPr>
        <w:t>ant</w:t>
      </w:r>
      <w:r w:rsidR="00D335FD" w:rsidRPr="00E07B7E">
        <w:rPr>
          <w:rFonts w:ascii="Times New Roman" w:hAnsi="Times New Roman" w:cs="Times New Roman"/>
          <w:sz w:val="24"/>
          <w:szCs w:val="24"/>
        </w:rPr>
        <w:t xml:space="preserve">s. However, they have already taken years of effort, and </w:t>
      </w:r>
      <w:r w:rsidR="007D1856">
        <w:rPr>
          <w:rFonts w:ascii="Times New Roman" w:hAnsi="Times New Roman" w:cs="Times New Roman"/>
          <w:sz w:val="24"/>
          <w:szCs w:val="24"/>
        </w:rPr>
        <w:t>an</w:t>
      </w:r>
      <w:r w:rsidR="00D335FD" w:rsidRPr="00E07B7E">
        <w:rPr>
          <w:rFonts w:ascii="Times New Roman" w:hAnsi="Times New Roman" w:cs="Times New Roman"/>
          <w:sz w:val="24"/>
          <w:szCs w:val="24"/>
        </w:rPr>
        <w:t xml:space="preserve"> ultimate res</w:t>
      </w:r>
      <w:r w:rsidR="007D1856">
        <w:rPr>
          <w:rFonts w:ascii="Times New Roman" w:hAnsi="Times New Roman" w:cs="Times New Roman"/>
          <w:sz w:val="24"/>
          <w:szCs w:val="24"/>
        </w:rPr>
        <w:t>olution that remedies human rights infringements</w:t>
      </w:r>
      <w:r w:rsidR="00D335FD" w:rsidRPr="00E07B7E">
        <w:rPr>
          <w:rFonts w:ascii="Times New Roman" w:hAnsi="Times New Roman" w:cs="Times New Roman"/>
          <w:sz w:val="24"/>
          <w:szCs w:val="24"/>
        </w:rPr>
        <w:t xml:space="preserve"> is uncertain at best</w:t>
      </w:r>
      <w:r w:rsidR="00B8586C" w:rsidRPr="00E07B7E">
        <w:rPr>
          <w:rFonts w:ascii="Times New Roman" w:hAnsi="Times New Roman" w:cs="Times New Roman"/>
          <w:sz w:val="24"/>
          <w:szCs w:val="24"/>
        </w:rPr>
        <w:t>, hopeless at worst</w:t>
      </w:r>
      <w:r w:rsidR="00D335FD" w:rsidRPr="00E07B7E">
        <w:rPr>
          <w:rFonts w:ascii="Times New Roman" w:hAnsi="Times New Roman" w:cs="Times New Roman"/>
          <w:sz w:val="24"/>
          <w:szCs w:val="24"/>
        </w:rPr>
        <w:t>. They may well already be in the category of “justice delayed and so denied.”</w:t>
      </w:r>
      <w:r w:rsidR="000375F9" w:rsidRPr="00E07B7E">
        <w:rPr>
          <w:rFonts w:ascii="Times New Roman" w:hAnsi="Times New Roman" w:cs="Times New Roman"/>
          <w:sz w:val="24"/>
          <w:szCs w:val="24"/>
        </w:rPr>
        <w:t xml:space="preserve"> </w:t>
      </w:r>
      <w:r w:rsidR="00D76D30" w:rsidRPr="00EF73A3">
        <w:rPr>
          <w:rFonts w:ascii="Times New Roman" w:hAnsi="Times New Roman" w:cs="Times New Roman"/>
          <w:sz w:val="24"/>
          <w:szCs w:val="24"/>
        </w:rPr>
        <w:t xml:space="preserve">These cases are indicative of a process that is often very tardy in producing results, where claimants must be prepared to face a process </w:t>
      </w:r>
      <w:proofErr w:type="gramStart"/>
      <w:r w:rsidR="00D76D30" w:rsidRPr="00EF73A3">
        <w:rPr>
          <w:rFonts w:ascii="Times New Roman" w:hAnsi="Times New Roman" w:cs="Times New Roman"/>
          <w:sz w:val="24"/>
          <w:szCs w:val="24"/>
        </w:rPr>
        <w:t>lasting years</w:t>
      </w:r>
      <w:proofErr w:type="gramEnd"/>
      <w:r w:rsidR="00D76D30" w:rsidRPr="00EF73A3">
        <w:rPr>
          <w:rFonts w:ascii="Times New Roman" w:hAnsi="Times New Roman" w:cs="Times New Roman"/>
          <w:sz w:val="24"/>
          <w:szCs w:val="24"/>
        </w:rPr>
        <w:t>.</w:t>
      </w:r>
      <w:r w:rsidR="009E1AC0">
        <w:rPr>
          <w:rFonts w:ascii="Times New Roman" w:hAnsi="Times New Roman" w:cs="Times New Roman"/>
          <w:sz w:val="24"/>
          <w:szCs w:val="24"/>
        </w:rPr>
        <w:t xml:space="preserve"> </w:t>
      </w:r>
      <w:r w:rsidR="009D3B01" w:rsidRPr="00CB22C1">
        <w:rPr>
          <w:rFonts w:ascii="Times New Roman" w:hAnsi="Times New Roman"/>
          <w:sz w:val="24"/>
        </w:rPr>
        <w:t>One of the stated advantages of NSBGMs is that they should provide more expeditious processes than litigation through the courts</w:t>
      </w:r>
      <w:r w:rsidR="009D3B01">
        <w:rPr>
          <w:rFonts w:ascii="Times New Roman" w:hAnsi="Times New Roman" w:cs="Times New Roman"/>
          <w:sz w:val="24"/>
          <w:szCs w:val="24"/>
        </w:rPr>
        <w:t>.</w:t>
      </w:r>
      <w:r w:rsidR="009D3B01">
        <w:rPr>
          <w:rStyle w:val="FootnoteReference"/>
          <w:rFonts w:ascii="Times New Roman" w:hAnsi="Times New Roman" w:cs="Times New Roman"/>
          <w:sz w:val="24"/>
          <w:szCs w:val="24"/>
        </w:rPr>
        <w:footnoteReference w:id="105"/>
      </w:r>
      <w:r w:rsidR="009D3B01">
        <w:rPr>
          <w:rFonts w:ascii="Times New Roman" w:hAnsi="Times New Roman" w:cs="Times New Roman"/>
          <w:sz w:val="24"/>
          <w:szCs w:val="24"/>
        </w:rPr>
        <w:t xml:space="preserve"> </w:t>
      </w:r>
      <w:r w:rsidR="009D3B01" w:rsidRPr="00E07B7E">
        <w:rPr>
          <w:rFonts w:ascii="Times New Roman" w:hAnsi="Times New Roman" w:cs="Times New Roman"/>
          <w:sz w:val="24"/>
          <w:szCs w:val="24"/>
        </w:rPr>
        <w:t xml:space="preserve">In the case of the RSPO’s complaints mechanism, </w:t>
      </w:r>
      <w:r w:rsidR="009D3B01">
        <w:rPr>
          <w:rFonts w:ascii="Times New Roman" w:hAnsi="Times New Roman" w:cs="Times New Roman"/>
          <w:sz w:val="24"/>
          <w:szCs w:val="24"/>
        </w:rPr>
        <w:t xml:space="preserve">it is not at all clear that this is the case. </w:t>
      </w:r>
      <w:r w:rsidR="009D3B01">
        <w:rPr>
          <w:rFonts w:ascii="Times New Roman" w:hAnsi="Times New Roman" w:cs="Times New Roman"/>
          <w:sz w:val="24"/>
          <w:szCs w:val="24"/>
          <w:lang w:val="en-GB"/>
        </w:rPr>
        <w:t>Our findings also cast</w:t>
      </w:r>
      <w:r w:rsidR="00E331B9">
        <w:rPr>
          <w:rFonts w:ascii="Times New Roman" w:hAnsi="Times New Roman" w:cs="Times New Roman"/>
          <w:sz w:val="24"/>
          <w:szCs w:val="24"/>
          <w:lang w:val="en-GB"/>
        </w:rPr>
        <w:t xml:space="preserve"> doubt on the </w:t>
      </w:r>
      <w:r w:rsidR="009D3B01">
        <w:rPr>
          <w:rFonts w:ascii="Times New Roman" w:hAnsi="Times New Roman" w:cs="Times New Roman"/>
          <w:sz w:val="24"/>
          <w:szCs w:val="24"/>
          <w:lang w:val="en-GB"/>
        </w:rPr>
        <w:t>way in which the UNGPs effectiveness criteria measure</w:t>
      </w:r>
      <w:r w:rsidR="009D3B01" w:rsidRPr="00590127">
        <w:rPr>
          <w:rFonts w:ascii="Times New Roman" w:hAnsi="Times New Roman" w:cs="Times New Roman"/>
          <w:sz w:val="24"/>
          <w:szCs w:val="24"/>
        </w:rPr>
        <w:t xml:space="preserve"> </w:t>
      </w:r>
      <w:r w:rsidR="009D3B01">
        <w:rPr>
          <w:rFonts w:ascii="Times New Roman" w:hAnsi="Times New Roman" w:cs="Times New Roman"/>
          <w:sz w:val="24"/>
          <w:szCs w:val="24"/>
        </w:rPr>
        <w:t xml:space="preserve">procedural </w:t>
      </w:r>
      <w:r w:rsidR="009D3B01" w:rsidRPr="00590127">
        <w:rPr>
          <w:rFonts w:ascii="Times New Roman" w:hAnsi="Times New Roman" w:cs="Times New Roman"/>
          <w:sz w:val="24"/>
          <w:szCs w:val="24"/>
        </w:rPr>
        <w:t>effective</w:t>
      </w:r>
      <w:r w:rsidR="009D3B01">
        <w:rPr>
          <w:rFonts w:ascii="Times New Roman" w:hAnsi="Times New Roman" w:cs="Times New Roman"/>
          <w:sz w:val="24"/>
          <w:szCs w:val="24"/>
        </w:rPr>
        <w:t>ness. On the issue of timeliness, the criteria</w:t>
      </w:r>
      <w:r w:rsidR="009D3B01" w:rsidRPr="00E07B7E">
        <w:rPr>
          <w:rFonts w:ascii="Times New Roman" w:hAnsi="Times New Roman" w:cs="Times New Roman"/>
          <w:sz w:val="24"/>
          <w:szCs w:val="24"/>
        </w:rPr>
        <w:t xml:space="preserve"> </w:t>
      </w:r>
      <w:r w:rsidR="009D3B01">
        <w:rPr>
          <w:rFonts w:ascii="Times New Roman" w:hAnsi="Times New Roman" w:cs="Times New Roman"/>
          <w:sz w:val="24"/>
          <w:szCs w:val="24"/>
        </w:rPr>
        <w:t xml:space="preserve">require </w:t>
      </w:r>
      <w:r w:rsidR="009D3B01" w:rsidRPr="00E07B7E">
        <w:rPr>
          <w:rFonts w:ascii="Times New Roman" w:hAnsi="Times New Roman" w:cs="Times New Roman"/>
          <w:sz w:val="24"/>
          <w:szCs w:val="24"/>
        </w:rPr>
        <w:t>that claimants are provided with “a clear and known procedure with an indicative time frame for each stage.”</w:t>
      </w:r>
      <w:r w:rsidR="009D3B01" w:rsidRPr="00E07B7E">
        <w:rPr>
          <w:rStyle w:val="FootnoteReference"/>
          <w:rFonts w:ascii="Times New Roman" w:hAnsi="Times New Roman" w:cs="Times New Roman"/>
          <w:sz w:val="24"/>
          <w:szCs w:val="24"/>
        </w:rPr>
        <w:footnoteReference w:id="106"/>
      </w:r>
      <w:r w:rsidR="009D3B01" w:rsidRPr="00E07B7E">
        <w:rPr>
          <w:rFonts w:ascii="Times New Roman" w:hAnsi="Times New Roman" w:cs="Times New Roman"/>
          <w:sz w:val="24"/>
          <w:szCs w:val="24"/>
        </w:rPr>
        <w:t xml:space="preserve">  But </w:t>
      </w:r>
      <w:r w:rsidR="009D3B01">
        <w:rPr>
          <w:rFonts w:ascii="Times New Roman" w:hAnsi="Times New Roman" w:cs="Times New Roman"/>
          <w:sz w:val="24"/>
          <w:szCs w:val="24"/>
        </w:rPr>
        <w:t>our analysis of the duration of RSPO claims, combined with interviews with rightsholders revealed that it is more</w:t>
      </w:r>
      <w:r w:rsidR="009D3B01" w:rsidRPr="00E07B7E">
        <w:rPr>
          <w:rFonts w:ascii="Times New Roman" w:hAnsi="Times New Roman" w:cs="Times New Roman"/>
          <w:sz w:val="24"/>
          <w:szCs w:val="24"/>
        </w:rPr>
        <w:t xml:space="preserve"> vital </w:t>
      </w:r>
      <w:r w:rsidR="009D3B01">
        <w:rPr>
          <w:rFonts w:ascii="Times New Roman" w:hAnsi="Times New Roman" w:cs="Times New Roman"/>
          <w:sz w:val="24"/>
          <w:szCs w:val="24"/>
        </w:rPr>
        <w:t>is</w:t>
      </w:r>
      <w:r w:rsidR="009D3B01" w:rsidRPr="00E07B7E">
        <w:rPr>
          <w:rFonts w:ascii="Times New Roman" w:hAnsi="Times New Roman" w:cs="Times New Roman"/>
          <w:sz w:val="24"/>
          <w:szCs w:val="24"/>
        </w:rPr>
        <w:t xml:space="preserve"> to measure the actual time taken for </w:t>
      </w:r>
      <w:r w:rsidR="009D3B01" w:rsidRPr="00E07B7E">
        <w:rPr>
          <w:rFonts w:ascii="Times New Roman" w:hAnsi="Times New Roman" w:cs="Times New Roman"/>
          <w:sz w:val="24"/>
          <w:szCs w:val="24"/>
        </w:rPr>
        <w:lastRenderedPageBreak/>
        <w:t xml:space="preserve">claimants to obtain the remedy they are seeking. </w:t>
      </w:r>
      <w:r w:rsidR="009D3B01">
        <w:rPr>
          <w:rFonts w:ascii="Times New Roman" w:hAnsi="Times New Roman" w:cs="Times New Roman"/>
          <w:sz w:val="24"/>
          <w:szCs w:val="24"/>
        </w:rPr>
        <w:t xml:space="preserve">This reaffirms </w:t>
      </w:r>
      <w:r w:rsidR="001D7F07">
        <w:rPr>
          <w:rFonts w:ascii="Times New Roman" w:hAnsi="Times New Roman" w:cs="Times New Roman"/>
          <w:sz w:val="24"/>
          <w:szCs w:val="24"/>
        </w:rPr>
        <w:t xml:space="preserve">the </w:t>
      </w:r>
      <w:r w:rsidR="009D3B01">
        <w:rPr>
          <w:rFonts w:ascii="Times New Roman" w:hAnsi="Times New Roman" w:cs="Times New Roman"/>
          <w:sz w:val="24"/>
          <w:szCs w:val="24"/>
        </w:rPr>
        <w:t xml:space="preserve">UN Working Group’s assertion </w:t>
      </w:r>
      <w:r w:rsidR="009D3B01" w:rsidRPr="00162573">
        <w:rPr>
          <w:rFonts w:ascii="Times New Roman" w:hAnsi="Times New Roman" w:cs="Times New Roman"/>
          <w:sz w:val="24"/>
          <w:szCs w:val="24"/>
        </w:rPr>
        <w:t xml:space="preserve">that </w:t>
      </w:r>
      <w:r w:rsidR="009D3B01">
        <w:rPr>
          <w:rFonts w:ascii="Times New Roman" w:hAnsi="Times New Roman" w:cs="Times New Roman"/>
          <w:sz w:val="24"/>
          <w:szCs w:val="24"/>
        </w:rPr>
        <w:t xml:space="preserve">it is crucial that </w:t>
      </w:r>
      <w:r w:rsidR="009D3B01" w:rsidRPr="00162573">
        <w:rPr>
          <w:rFonts w:ascii="Times New Roman" w:hAnsi="Times New Roman" w:cs="Times New Roman"/>
          <w:sz w:val="24"/>
          <w:szCs w:val="24"/>
        </w:rPr>
        <w:t>the effectiveness o</w:t>
      </w:r>
      <w:r w:rsidR="009D3B01">
        <w:rPr>
          <w:rFonts w:ascii="Times New Roman" w:hAnsi="Times New Roman" w:cs="Times New Roman"/>
          <w:sz w:val="24"/>
          <w:szCs w:val="24"/>
        </w:rPr>
        <w:t>f a remedy should be judged</w:t>
      </w:r>
      <w:r w:rsidR="009D3B01" w:rsidRPr="00162573">
        <w:rPr>
          <w:rFonts w:ascii="Times New Roman" w:hAnsi="Times New Roman" w:cs="Times New Roman"/>
          <w:sz w:val="24"/>
          <w:szCs w:val="24"/>
        </w:rPr>
        <w:t xml:space="preserve"> from the perspec</w:t>
      </w:r>
      <w:r w:rsidR="009D3B01">
        <w:rPr>
          <w:rFonts w:ascii="Times New Roman" w:hAnsi="Times New Roman" w:cs="Times New Roman"/>
          <w:sz w:val="24"/>
          <w:szCs w:val="24"/>
        </w:rPr>
        <w:t>tive of affected rights holders,</w:t>
      </w:r>
      <w:r w:rsidR="009D3B01" w:rsidRPr="00162573">
        <w:rPr>
          <w:rStyle w:val="FootnoteReference"/>
          <w:rFonts w:ascii="Times New Roman" w:hAnsi="Times New Roman" w:cs="Times New Roman"/>
          <w:sz w:val="24"/>
          <w:szCs w:val="24"/>
        </w:rPr>
        <w:footnoteReference w:id="107"/>
      </w:r>
      <w:r w:rsidR="009D3B01">
        <w:rPr>
          <w:rFonts w:ascii="Times New Roman" w:hAnsi="Times New Roman" w:cs="Times New Roman"/>
          <w:sz w:val="24"/>
          <w:szCs w:val="24"/>
        </w:rPr>
        <w:t xml:space="preserve"> and raises questions about the degree to which the UNGPs effectiveness criteria </w:t>
      </w:r>
      <w:r w:rsidR="005B07BA">
        <w:rPr>
          <w:rFonts w:ascii="Times New Roman" w:hAnsi="Times New Roman" w:cs="Times New Roman"/>
          <w:sz w:val="24"/>
          <w:szCs w:val="24"/>
        </w:rPr>
        <w:t xml:space="preserve">measure those </w:t>
      </w:r>
      <w:r w:rsidR="00C96866">
        <w:rPr>
          <w:rFonts w:ascii="Times New Roman" w:hAnsi="Times New Roman" w:cs="Times New Roman"/>
          <w:sz w:val="24"/>
          <w:szCs w:val="24"/>
        </w:rPr>
        <w:t xml:space="preserve">procedural </w:t>
      </w:r>
      <w:r w:rsidR="005B07BA">
        <w:rPr>
          <w:rFonts w:ascii="Times New Roman" w:hAnsi="Times New Roman" w:cs="Times New Roman"/>
          <w:sz w:val="24"/>
          <w:szCs w:val="24"/>
        </w:rPr>
        <w:t>aspects of the claims process that are most important to those rightsholders.</w:t>
      </w:r>
      <w:r w:rsidR="00C96866">
        <w:rPr>
          <w:rFonts w:ascii="Times New Roman" w:hAnsi="Times New Roman" w:cs="Times New Roman"/>
          <w:sz w:val="24"/>
          <w:szCs w:val="24"/>
        </w:rPr>
        <w:t xml:space="preserve"> Future studies may therefore benefit from making stakeholder concerns more central to measuring the procedural aspects of NSBGMs.   </w:t>
      </w:r>
      <w:r w:rsidR="005B07BA">
        <w:rPr>
          <w:rFonts w:ascii="Times New Roman" w:hAnsi="Times New Roman" w:cs="Times New Roman"/>
          <w:sz w:val="24"/>
          <w:szCs w:val="24"/>
        </w:rPr>
        <w:t xml:space="preserve"> </w:t>
      </w:r>
    </w:p>
    <w:p w14:paraId="2AB6E66E" w14:textId="1CD3F8AF" w:rsidR="006247DC" w:rsidRPr="00E07B7E" w:rsidRDefault="00D76D30"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ab/>
      </w:r>
      <w:r w:rsidR="002E6B27">
        <w:rPr>
          <w:rFonts w:ascii="Times New Roman" w:hAnsi="Times New Roman" w:cs="Times New Roman"/>
          <w:sz w:val="24"/>
          <w:szCs w:val="24"/>
        </w:rPr>
        <w:t xml:space="preserve"> </w:t>
      </w:r>
      <w:r w:rsidR="00C96866">
        <w:rPr>
          <w:rFonts w:ascii="Times New Roman" w:hAnsi="Times New Roman" w:cs="Times New Roman"/>
          <w:sz w:val="24"/>
          <w:szCs w:val="24"/>
        </w:rPr>
        <w:t xml:space="preserve">A final observation raises an important question about the feasibility of conducting future studies. </w:t>
      </w:r>
      <w:r w:rsidR="006247DC" w:rsidRPr="00E07B7E">
        <w:rPr>
          <w:rFonts w:ascii="Times New Roman" w:hAnsi="Times New Roman" w:cs="Times New Roman"/>
          <w:sz w:val="24"/>
          <w:szCs w:val="24"/>
        </w:rPr>
        <w:t xml:space="preserve">In terms of outcomes for claimants, </w:t>
      </w:r>
      <w:r w:rsidR="006247DC">
        <w:rPr>
          <w:rFonts w:ascii="Times New Roman" w:hAnsi="Times New Roman" w:cs="Times New Roman"/>
          <w:sz w:val="24"/>
          <w:szCs w:val="24"/>
        </w:rPr>
        <w:t>perhaps</w:t>
      </w:r>
      <w:r w:rsidR="006247DC" w:rsidRPr="00E07B7E">
        <w:rPr>
          <w:rFonts w:ascii="Times New Roman" w:hAnsi="Times New Roman" w:cs="Times New Roman"/>
          <w:sz w:val="24"/>
          <w:szCs w:val="24"/>
        </w:rPr>
        <w:t xml:space="preserve"> the most satisfactory results were achieved in those </w:t>
      </w:r>
      <w:r w:rsidR="006247DC">
        <w:rPr>
          <w:rFonts w:ascii="Times New Roman" w:hAnsi="Times New Roman" w:cs="Times New Roman"/>
          <w:sz w:val="24"/>
          <w:szCs w:val="24"/>
        </w:rPr>
        <w:t xml:space="preserve">six </w:t>
      </w:r>
      <w:r w:rsidR="006247DC" w:rsidRPr="00E07B7E">
        <w:rPr>
          <w:rFonts w:ascii="Times New Roman" w:hAnsi="Times New Roman" w:cs="Times New Roman"/>
          <w:sz w:val="24"/>
          <w:szCs w:val="24"/>
        </w:rPr>
        <w:t>claims that resulted in an agreed settlement</w:t>
      </w:r>
      <w:r w:rsidR="006247DC">
        <w:rPr>
          <w:rFonts w:ascii="Times New Roman" w:hAnsi="Times New Roman" w:cs="Times New Roman"/>
          <w:sz w:val="24"/>
          <w:szCs w:val="24"/>
        </w:rPr>
        <w:t xml:space="preserve"> (Group 1C)</w:t>
      </w:r>
      <w:r w:rsidR="006247DC" w:rsidRPr="00E07B7E">
        <w:rPr>
          <w:rFonts w:ascii="Times New Roman" w:hAnsi="Times New Roman" w:cs="Times New Roman"/>
          <w:sz w:val="24"/>
          <w:szCs w:val="24"/>
        </w:rPr>
        <w:t xml:space="preserve">. It can justifiably be presumed that the claimants received some benefit </w:t>
      </w:r>
      <w:r w:rsidR="006247DC">
        <w:rPr>
          <w:rFonts w:ascii="Times New Roman" w:hAnsi="Times New Roman" w:cs="Times New Roman"/>
          <w:sz w:val="24"/>
          <w:szCs w:val="24"/>
        </w:rPr>
        <w:t>there</w:t>
      </w:r>
      <w:r w:rsidR="006247DC" w:rsidRPr="00E07B7E">
        <w:rPr>
          <w:rFonts w:ascii="Times New Roman" w:hAnsi="Times New Roman" w:cs="Times New Roman"/>
          <w:sz w:val="24"/>
          <w:szCs w:val="24"/>
        </w:rPr>
        <w:t>.</w:t>
      </w:r>
      <w:r w:rsidR="006247DC">
        <w:rPr>
          <w:rFonts w:ascii="Times New Roman" w:hAnsi="Times New Roman" w:cs="Times New Roman"/>
          <w:sz w:val="24"/>
          <w:szCs w:val="24"/>
        </w:rPr>
        <w:t xml:space="preserve"> It is also likely that those claimants gave up something to arrive at the final agreement. </w:t>
      </w:r>
      <w:r w:rsidR="006247DC" w:rsidRPr="00E07B7E">
        <w:rPr>
          <w:rFonts w:ascii="Times New Roman" w:hAnsi="Times New Roman" w:cs="Times New Roman"/>
          <w:sz w:val="24"/>
          <w:szCs w:val="24"/>
        </w:rPr>
        <w:t xml:space="preserve"> Unfortunately, there is no transparency in these settled cases and so it is not known what their real benefit was to rightsholders. </w:t>
      </w:r>
      <w:r w:rsidR="006247DC">
        <w:rPr>
          <w:rFonts w:ascii="Times New Roman" w:hAnsi="Times New Roman" w:cs="Times New Roman"/>
          <w:sz w:val="24"/>
          <w:szCs w:val="24"/>
        </w:rPr>
        <w:t xml:space="preserve">Confidentiality is often a prerequisite to a corporation’s willingness to compromise a serious claim, particularly one potentially affecting the company’s reputation. Requiring transparency could chill the settlement process and would almost certainly reduce the number of settled cases. Balancing these interests is a challenge for all NSBGMs. As other studies have found, complaints mechanisms in many other MSIs are far less transparent, and do not publish results of </w:t>
      </w:r>
      <w:r w:rsidR="006247DC" w:rsidRPr="0024344B">
        <w:rPr>
          <w:rFonts w:ascii="Times New Roman" w:hAnsi="Times New Roman" w:cs="Times New Roman"/>
          <w:i/>
          <w:sz w:val="24"/>
          <w:szCs w:val="24"/>
        </w:rPr>
        <w:t xml:space="preserve">any </w:t>
      </w:r>
      <w:r w:rsidR="006247DC">
        <w:rPr>
          <w:rFonts w:ascii="Times New Roman" w:hAnsi="Times New Roman" w:cs="Times New Roman"/>
          <w:sz w:val="24"/>
          <w:szCs w:val="24"/>
        </w:rPr>
        <w:t>cases.</w:t>
      </w:r>
      <w:r w:rsidR="006247DC">
        <w:rPr>
          <w:rStyle w:val="FootnoteReference"/>
          <w:rFonts w:ascii="Times New Roman" w:hAnsi="Times New Roman" w:cs="Times New Roman"/>
          <w:sz w:val="24"/>
          <w:szCs w:val="24"/>
        </w:rPr>
        <w:footnoteReference w:id="108"/>
      </w:r>
      <w:r w:rsidR="006247DC">
        <w:rPr>
          <w:rFonts w:ascii="Times New Roman" w:hAnsi="Times New Roman" w:cs="Times New Roman"/>
          <w:sz w:val="24"/>
          <w:szCs w:val="24"/>
        </w:rPr>
        <w:t xml:space="preserve">  C</w:t>
      </w:r>
      <w:r w:rsidR="006247DC" w:rsidRPr="00B77B3A">
        <w:rPr>
          <w:rFonts w:ascii="Times New Roman" w:hAnsi="Times New Roman" w:cs="Times New Roman"/>
          <w:sz w:val="24"/>
          <w:szCs w:val="24"/>
        </w:rPr>
        <w:t>ompanies’ operational level grievance mechanisms</w:t>
      </w:r>
      <w:r w:rsidR="006247DC" w:rsidRPr="00B77B3A" w:rsidDel="001757A8">
        <w:rPr>
          <w:rFonts w:ascii="Times New Roman" w:hAnsi="Times New Roman" w:cs="Times New Roman"/>
          <w:sz w:val="24"/>
          <w:szCs w:val="24"/>
        </w:rPr>
        <w:t xml:space="preserve"> </w:t>
      </w:r>
      <w:r w:rsidR="006247DC">
        <w:rPr>
          <w:rFonts w:ascii="Times New Roman" w:hAnsi="Times New Roman" w:cs="Times New Roman"/>
          <w:sz w:val="24"/>
          <w:szCs w:val="24"/>
        </w:rPr>
        <w:t>also rarely if ever publicize the results of any complaints which they address.</w:t>
      </w:r>
      <w:r w:rsidR="006247DC">
        <w:rPr>
          <w:rStyle w:val="FootnoteReference"/>
          <w:rFonts w:ascii="Times New Roman" w:hAnsi="Times New Roman" w:cs="Times New Roman"/>
          <w:sz w:val="24"/>
          <w:szCs w:val="24"/>
        </w:rPr>
        <w:footnoteReference w:id="109"/>
      </w:r>
      <w:r w:rsidR="006247DC">
        <w:rPr>
          <w:rFonts w:ascii="Times New Roman" w:hAnsi="Times New Roman" w:cs="Times New Roman"/>
          <w:sz w:val="24"/>
          <w:szCs w:val="24"/>
        </w:rPr>
        <w:t xml:space="preserve"> The problems of lack of transparency identified here are therefore greatly exacerbated across other NSBGMs and will mitigate against the kind of study we have undertaken here for many other </w:t>
      </w:r>
      <w:r w:rsidR="00031111">
        <w:rPr>
          <w:rFonts w:ascii="Times New Roman" w:hAnsi="Times New Roman" w:cs="Times New Roman"/>
          <w:sz w:val="24"/>
          <w:szCs w:val="24"/>
        </w:rPr>
        <w:t xml:space="preserve">(although not all) </w:t>
      </w:r>
      <w:r w:rsidR="006247DC">
        <w:rPr>
          <w:rFonts w:ascii="Times New Roman" w:hAnsi="Times New Roman" w:cs="Times New Roman"/>
          <w:sz w:val="24"/>
          <w:szCs w:val="24"/>
        </w:rPr>
        <w:t>NSBGMs in the future.</w:t>
      </w:r>
      <w:r w:rsidR="00031111">
        <w:rPr>
          <w:rFonts w:ascii="Times New Roman" w:hAnsi="Times New Roman" w:cs="Times New Roman"/>
          <w:sz w:val="24"/>
          <w:szCs w:val="24"/>
        </w:rPr>
        <w:t xml:space="preserve"> This is an issue we return to consider in the conclusion.</w:t>
      </w:r>
    </w:p>
    <w:p w14:paraId="711BCF43" w14:textId="503E21F7" w:rsidR="00CD4D0B" w:rsidRDefault="00CD4D0B" w:rsidP="001659DC">
      <w:pPr>
        <w:spacing w:line="360" w:lineRule="auto"/>
        <w:rPr>
          <w:rFonts w:ascii="Times New Roman" w:hAnsi="Times New Roman" w:cs="Times New Roman"/>
          <w:sz w:val="24"/>
          <w:szCs w:val="24"/>
        </w:rPr>
      </w:pPr>
    </w:p>
    <w:p w14:paraId="07775E84" w14:textId="026DC155" w:rsidR="00483B3E" w:rsidRPr="001659DC" w:rsidRDefault="00483B3E" w:rsidP="001659DC">
      <w:pPr>
        <w:pStyle w:val="ListParagraph"/>
        <w:numPr>
          <w:ilvl w:val="0"/>
          <w:numId w:val="1"/>
        </w:numPr>
        <w:spacing w:line="360" w:lineRule="auto"/>
        <w:jc w:val="center"/>
        <w:rPr>
          <w:rFonts w:ascii="Times New Roman" w:hAnsi="Times New Roman"/>
          <w:sz w:val="28"/>
          <w:szCs w:val="28"/>
        </w:rPr>
      </w:pPr>
      <w:r w:rsidRPr="001659DC">
        <w:rPr>
          <w:rFonts w:ascii="Times New Roman" w:hAnsi="Times New Roman" w:cs="Times New Roman"/>
          <w:smallCaps/>
          <w:sz w:val="28"/>
          <w:szCs w:val="28"/>
        </w:rPr>
        <w:lastRenderedPageBreak/>
        <w:t>Conclusion</w:t>
      </w:r>
    </w:p>
    <w:p w14:paraId="27DA882A" w14:textId="3AFA83A9" w:rsidR="00F538E9" w:rsidRDefault="00F538E9"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Our case study has raised serious question about the cap</w:t>
      </w:r>
      <w:r w:rsidR="00714C94">
        <w:rPr>
          <w:rFonts w:ascii="Times New Roman" w:hAnsi="Times New Roman" w:cs="Times New Roman"/>
          <w:sz w:val="24"/>
          <w:szCs w:val="24"/>
        </w:rPr>
        <w:t>a</w:t>
      </w:r>
      <w:r>
        <w:rPr>
          <w:rFonts w:ascii="Times New Roman" w:hAnsi="Times New Roman" w:cs="Times New Roman"/>
          <w:sz w:val="24"/>
          <w:szCs w:val="24"/>
        </w:rPr>
        <w:t>cit</w:t>
      </w:r>
      <w:r w:rsidR="00714C94">
        <w:rPr>
          <w:rFonts w:ascii="Times New Roman" w:hAnsi="Times New Roman" w:cs="Times New Roman"/>
          <w:sz w:val="24"/>
          <w:szCs w:val="24"/>
        </w:rPr>
        <w:t>y</w:t>
      </w:r>
      <w:r>
        <w:rPr>
          <w:rFonts w:ascii="Times New Roman" w:hAnsi="Times New Roman" w:cs="Times New Roman"/>
          <w:sz w:val="24"/>
          <w:szCs w:val="24"/>
        </w:rPr>
        <w:t xml:space="preserve"> </w:t>
      </w:r>
      <w:r w:rsidR="00714C94">
        <w:rPr>
          <w:rFonts w:ascii="Times New Roman" w:hAnsi="Times New Roman" w:cs="Times New Roman"/>
          <w:sz w:val="24"/>
          <w:szCs w:val="24"/>
        </w:rPr>
        <w:t>of</w:t>
      </w:r>
      <w:r w:rsidRPr="00E07B7E">
        <w:rPr>
          <w:rFonts w:ascii="Times New Roman" w:hAnsi="Times New Roman" w:cs="Times New Roman"/>
          <w:sz w:val="24"/>
          <w:szCs w:val="24"/>
        </w:rPr>
        <w:t xml:space="preserve"> the RSPO complaint mechanism </w:t>
      </w:r>
      <w:r w:rsidR="00714C94">
        <w:rPr>
          <w:rFonts w:ascii="Times New Roman" w:hAnsi="Times New Roman" w:cs="Times New Roman"/>
          <w:sz w:val="24"/>
          <w:szCs w:val="24"/>
        </w:rPr>
        <w:t xml:space="preserve">to </w:t>
      </w:r>
      <w:r w:rsidRPr="00E07B7E">
        <w:rPr>
          <w:rFonts w:ascii="Times New Roman" w:hAnsi="Times New Roman" w:cs="Times New Roman"/>
          <w:sz w:val="24"/>
          <w:szCs w:val="24"/>
        </w:rPr>
        <w:t xml:space="preserve">provide </w:t>
      </w:r>
      <w:r>
        <w:rPr>
          <w:rFonts w:ascii="Times New Roman" w:hAnsi="Times New Roman" w:cs="Times New Roman"/>
          <w:sz w:val="24"/>
          <w:szCs w:val="24"/>
        </w:rPr>
        <w:t xml:space="preserve">effective </w:t>
      </w:r>
      <w:r w:rsidRPr="00E07B7E">
        <w:rPr>
          <w:rFonts w:ascii="Times New Roman" w:hAnsi="Times New Roman" w:cs="Times New Roman"/>
          <w:sz w:val="24"/>
          <w:szCs w:val="24"/>
        </w:rPr>
        <w:t>access to remedy for human rights violations</w:t>
      </w:r>
      <w:r w:rsidR="00714C94">
        <w:rPr>
          <w:rFonts w:ascii="Times New Roman" w:hAnsi="Times New Roman" w:cs="Times New Roman"/>
          <w:sz w:val="24"/>
          <w:szCs w:val="24"/>
        </w:rPr>
        <w:t>.</w:t>
      </w:r>
      <w:r w:rsidRPr="00E07B7E">
        <w:rPr>
          <w:rFonts w:ascii="Times New Roman" w:hAnsi="Times New Roman" w:cs="Times New Roman"/>
          <w:sz w:val="24"/>
          <w:szCs w:val="24"/>
        </w:rPr>
        <w:t xml:space="preserve"> </w:t>
      </w:r>
      <w:r>
        <w:rPr>
          <w:rFonts w:ascii="Times New Roman" w:hAnsi="Times New Roman" w:cs="Times New Roman"/>
          <w:sz w:val="24"/>
          <w:szCs w:val="24"/>
        </w:rPr>
        <w:t>Even as a compliment to judicial and other forms of remedy, its value appears very limited</w:t>
      </w:r>
      <w:r w:rsidRPr="00E07B7E">
        <w:rPr>
          <w:rFonts w:ascii="Times New Roman" w:hAnsi="Times New Roman" w:cs="Times New Roman"/>
          <w:sz w:val="24"/>
          <w:szCs w:val="24"/>
        </w:rPr>
        <w:t>.</w:t>
      </w:r>
      <w:r w:rsidRPr="00176494">
        <w:rPr>
          <w:rStyle w:val="FootnoteReference"/>
          <w:rFonts w:ascii="Times New Roman" w:hAnsi="Times New Roman" w:cs="Times New Roman"/>
          <w:sz w:val="24"/>
          <w:szCs w:val="24"/>
        </w:rPr>
        <w:t xml:space="preserve"> </w:t>
      </w:r>
      <w:r w:rsidR="00714C94">
        <w:rPr>
          <w:rFonts w:ascii="Times New Roman" w:hAnsi="Times New Roman" w:cs="Times New Roman"/>
          <w:sz w:val="24"/>
          <w:szCs w:val="24"/>
        </w:rPr>
        <w:t xml:space="preserve">With dozens of cases over more than ten years, effective remedy was ordered and achieved exactly once. </w:t>
      </w:r>
      <w:r w:rsidRPr="00E07B7E">
        <w:rPr>
          <w:rFonts w:ascii="Times New Roman" w:hAnsi="Times New Roman" w:cs="Times New Roman"/>
          <w:sz w:val="24"/>
          <w:szCs w:val="24"/>
        </w:rPr>
        <w:t xml:space="preserve">It cannot </w:t>
      </w:r>
      <w:r w:rsidR="00636AE4">
        <w:rPr>
          <w:rFonts w:ascii="Times New Roman" w:hAnsi="Times New Roman" w:cs="Times New Roman"/>
          <w:sz w:val="24"/>
          <w:szCs w:val="24"/>
        </w:rPr>
        <w:t xml:space="preserve">therefore </w:t>
      </w:r>
      <w:r w:rsidRPr="00E07B7E">
        <w:rPr>
          <w:rFonts w:ascii="Times New Roman" w:hAnsi="Times New Roman" w:cs="Times New Roman"/>
          <w:sz w:val="24"/>
          <w:szCs w:val="24"/>
        </w:rPr>
        <w:t xml:space="preserve">be relied upon to </w:t>
      </w:r>
      <w:r>
        <w:rPr>
          <w:rFonts w:ascii="Times New Roman" w:hAnsi="Times New Roman" w:cs="Times New Roman"/>
          <w:sz w:val="24"/>
          <w:szCs w:val="24"/>
        </w:rPr>
        <w:t>produce timely outcomes in decided cases that lead to effective remedies</w:t>
      </w:r>
      <w:r w:rsidRPr="00E07B7E">
        <w:rPr>
          <w:rFonts w:ascii="Times New Roman" w:hAnsi="Times New Roman" w:cs="Times New Roman"/>
          <w:sz w:val="24"/>
          <w:szCs w:val="24"/>
        </w:rPr>
        <w:t xml:space="preserve">. </w:t>
      </w:r>
      <w:r>
        <w:rPr>
          <w:rFonts w:ascii="Times New Roman" w:hAnsi="Times New Roman" w:cs="Times New Roman"/>
          <w:sz w:val="24"/>
          <w:szCs w:val="24"/>
        </w:rPr>
        <w:t xml:space="preserve">It fares even worse when considered as a replacement for other forms of remedy. Beyond its lack of capacity to enforce judgments, the aims of the system can actually be at odds with the goal of providing effective remedy for rightsholders, </w:t>
      </w:r>
      <w:r w:rsidR="00C60D60">
        <w:rPr>
          <w:rFonts w:ascii="Times New Roman" w:hAnsi="Times New Roman" w:cs="Times New Roman"/>
          <w:sz w:val="24"/>
          <w:szCs w:val="24"/>
        </w:rPr>
        <w:t>particularly where it</w:t>
      </w:r>
      <w:r w:rsidRPr="006D7D7B">
        <w:rPr>
          <w:rFonts w:ascii="Times New Roman" w:hAnsi="Times New Roman" w:cs="Times New Roman"/>
          <w:sz w:val="24"/>
          <w:szCs w:val="24"/>
        </w:rPr>
        <w:t xml:space="preserve"> </w:t>
      </w:r>
      <w:r w:rsidR="00C60D60">
        <w:rPr>
          <w:rFonts w:ascii="Times New Roman" w:hAnsi="Times New Roman" w:cs="Times New Roman"/>
          <w:sz w:val="24"/>
          <w:szCs w:val="24"/>
        </w:rPr>
        <w:t>withdraws</w:t>
      </w:r>
      <w:r w:rsidRPr="006D7D7B">
        <w:rPr>
          <w:rFonts w:ascii="Times New Roman" w:hAnsi="Times New Roman" w:cs="Times New Roman"/>
          <w:sz w:val="24"/>
          <w:szCs w:val="24"/>
        </w:rPr>
        <w:t xml:space="preserve"> membership </w:t>
      </w:r>
      <w:r w:rsidR="00C60D60">
        <w:rPr>
          <w:rFonts w:ascii="Times New Roman" w:hAnsi="Times New Roman" w:cs="Times New Roman"/>
          <w:sz w:val="24"/>
          <w:szCs w:val="24"/>
        </w:rPr>
        <w:t>from</w:t>
      </w:r>
      <w:r>
        <w:rPr>
          <w:rFonts w:ascii="Times New Roman" w:hAnsi="Times New Roman" w:cs="Times New Roman"/>
          <w:sz w:val="24"/>
          <w:szCs w:val="24"/>
        </w:rPr>
        <w:t xml:space="preserve"> the company, leaving rightsholders without a means of obtaining remedy. </w:t>
      </w:r>
    </w:p>
    <w:p w14:paraId="41CAB8D4" w14:textId="112003D4" w:rsidR="00714C94" w:rsidRDefault="00714C94"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ramifications of these findings stretch far beyond this single case. </w:t>
      </w:r>
      <w:r w:rsidR="00D35553">
        <w:rPr>
          <w:rFonts w:ascii="Times New Roman" w:hAnsi="Times New Roman" w:cs="Times New Roman"/>
          <w:sz w:val="24"/>
          <w:szCs w:val="24"/>
        </w:rPr>
        <w:t>Building on previous studies which have raise</w:t>
      </w:r>
      <w:r w:rsidR="00941875">
        <w:rPr>
          <w:rFonts w:ascii="Times New Roman" w:hAnsi="Times New Roman" w:cs="Times New Roman"/>
          <w:sz w:val="24"/>
          <w:szCs w:val="24"/>
        </w:rPr>
        <w:t xml:space="preserve">d generalized </w:t>
      </w:r>
      <w:r w:rsidR="00D35553">
        <w:rPr>
          <w:rFonts w:ascii="Times New Roman" w:hAnsi="Times New Roman" w:cs="Times New Roman"/>
          <w:sz w:val="24"/>
          <w:szCs w:val="24"/>
        </w:rPr>
        <w:t xml:space="preserve">concerns about using the UNGPs’ effectiveness criteria as the basis for determining whether NSBGMs are actually effective in practice, our detailed </w:t>
      </w:r>
      <w:r w:rsidR="00941875">
        <w:rPr>
          <w:rFonts w:ascii="Times New Roman" w:hAnsi="Times New Roman" w:cs="Times New Roman"/>
          <w:sz w:val="24"/>
          <w:szCs w:val="24"/>
        </w:rPr>
        <w:t>investigation of a single NSBGM</w:t>
      </w:r>
      <w:r w:rsidR="00D35553">
        <w:rPr>
          <w:rFonts w:ascii="Times New Roman" w:hAnsi="Times New Roman" w:cs="Times New Roman"/>
          <w:sz w:val="24"/>
          <w:szCs w:val="24"/>
        </w:rPr>
        <w:t xml:space="preserve"> </w:t>
      </w:r>
      <w:r w:rsidR="00941875">
        <w:rPr>
          <w:rFonts w:ascii="Times New Roman" w:hAnsi="Times New Roman" w:cs="Times New Roman"/>
          <w:sz w:val="24"/>
          <w:szCs w:val="24"/>
        </w:rPr>
        <w:t xml:space="preserve">provides </w:t>
      </w:r>
      <w:r w:rsidR="00741658">
        <w:rPr>
          <w:rFonts w:ascii="Times New Roman" w:hAnsi="Times New Roman" w:cs="Times New Roman"/>
          <w:sz w:val="24"/>
          <w:szCs w:val="24"/>
        </w:rPr>
        <w:t>clear evidence</w:t>
      </w:r>
      <w:r w:rsidR="00941875">
        <w:rPr>
          <w:rFonts w:ascii="Times New Roman" w:hAnsi="Times New Roman" w:cs="Times New Roman"/>
          <w:sz w:val="24"/>
          <w:szCs w:val="24"/>
        </w:rPr>
        <w:t xml:space="preserve"> of the need to develop alternative frameworks of assessment.</w:t>
      </w:r>
      <w:r w:rsidR="00DA2580" w:rsidRPr="00E07B7E">
        <w:rPr>
          <w:rFonts w:ascii="Times New Roman" w:hAnsi="Times New Roman" w:cs="Times New Roman"/>
          <w:sz w:val="24"/>
          <w:szCs w:val="24"/>
        </w:rPr>
        <w:t xml:space="preserve"> </w:t>
      </w:r>
      <w:r w:rsidR="00E57A66">
        <w:rPr>
          <w:rFonts w:ascii="Times New Roman" w:hAnsi="Times New Roman" w:cs="Times New Roman"/>
          <w:sz w:val="24"/>
          <w:szCs w:val="24"/>
        </w:rPr>
        <w:t>Since t</w:t>
      </w:r>
      <w:r w:rsidR="0001596E" w:rsidRPr="00E07B7E">
        <w:rPr>
          <w:rFonts w:ascii="Times New Roman" w:hAnsi="Times New Roman" w:cs="Times New Roman"/>
          <w:sz w:val="24"/>
          <w:szCs w:val="24"/>
        </w:rPr>
        <w:t xml:space="preserve">he RSPO complaints mechanism </w:t>
      </w:r>
      <w:r w:rsidR="00E57A66">
        <w:rPr>
          <w:rFonts w:ascii="Times New Roman" w:hAnsi="Times New Roman" w:cs="Times New Roman"/>
          <w:sz w:val="24"/>
          <w:szCs w:val="24"/>
        </w:rPr>
        <w:t>performs</w:t>
      </w:r>
      <w:r w:rsidR="0001596E" w:rsidRPr="00E07B7E">
        <w:rPr>
          <w:rFonts w:ascii="Times New Roman" w:hAnsi="Times New Roman" w:cs="Times New Roman"/>
          <w:sz w:val="24"/>
          <w:szCs w:val="24"/>
        </w:rPr>
        <w:t xml:space="preserve"> </w:t>
      </w:r>
      <w:r w:rsidR="00D76D30">
        <w:rPr>
          <w:rFonts w:ascii="Times New Roman" w:hAnsi="Times New Roman" w:cs="Times New Roman"/>
          <w:sz w:val="24"/>
          <w:szCs w:val="24"/>
        </w:rPr>
        <w:t>well when compared to other NSBGMs</w:t>
      </w:r>
      <w:r w:rsidR="0001596E" w:rsidRPr="00E07B7E">
        <w:rPr>
          <w:rFonts w:ascii="Times New Roman" w:hAnsi="Times New Roman" w:cs="Times New Roman"/>
          <w:sz w:val="24"/>
          <w:szCs w:val="24"/>
        </w:rPr>
        <w:t xml:space="preserve"> </w:t>
      </w:r>
      <w:r w:rsidR="00D76D30">
        <w:rPr>
          <w:rFonts w:ascii="Times New Roman" w:hAnsi="Times New Roman" w:cs="Times New Roman"/>
          <w:sz w:val="24"/>
          <w:szCs w:val="24"/>
        </w:rPr>
        <w:t>in relation to</w:t>
      </w:r>
      <w:r w:rsidR="0001596E" w:rsidRPr="00E07B7E">
        <w:rPr>
          <w:rFonts w:ascii="Times New Roman" w:hAnsi="Times New Roman" w:cs="Times New Roman"/>
          <w:sz w:val="24"/>
          <w:szCs w:val="24"/>
        </w:rPr>
        <w:t xml:space="preserve"> the UNGPs’ effectiveness criteria, but </w:t>
      </w:r>
      <w:r w:rsidR="00E57A66">
        <w:rPr>
          <w:rFonts w:ascii="Times New Roman" w:hAnsi="Times New Roman" w:cs="Times New Roman"/>
          <w:sz w:val="24"/>
          <w:szCs w:val="24"/>
        </w:rPr>
        <w:t>performs</w:t>
      </w:r>
      <w:r w:rsidR="00D76D30">
        <w:rPr>
          <w:rFonts w:ascii="Times New Roman" w:hAnsi="Times New Roman" w:cs="Times New Roman"/>
          <w:sz w:val="24"/>
          <w:szCs w:val="24"/>
        </w:rPr>
        <w:t xml:space="preserve"> poorly</w:t>
      </w:r>
      <w:r w:rsidR="0001596E" w:rsidRPr="00E07B7E">
        <w:rPr>
          <w:rFonts w:ascii="Times New Roman" w:hAnsi="Times New Roman" w:cs="Times New Roman"/>
          <w:sz w:val="24"/>
          <w:szCs w:val="24"/>
        </w:rPr>
        <w:t xml:space="preserve"> when </w:t>
      </w:r>
      <w:r w:rsidR="00E57A66">
        <w:rPr>
          <w:rFonts w:ascii="Times New Roman" w:hAnsi="Times New Roman" w:cs="Times New Roman"/>
          <w:sz w:val="24"/>
          <w:szCs w:val="24"/>
        </w:rPr>
        <w:t>evaluating</w:t>
      </w:r>
      <w:r w:rsidR="0001596E" w:rsidRPr="00E07B7E">
        <w:rPr>
          <w:rFonts w:ascii="Times New Roman" w:hAnsi="Times New Roman" w:cs="Times New Roman"/>
          <w:sz w:val="24"/>
          <w:szCs w:val="24"/>
        </w:rPr>
        <w:t xml:space="preserve"> </w:t>
      </w:r>
      <w:r w:rsidR="00D76D30">
        <w:rPr>
          <w:rFonts w:ascii="Times New Roman" w:hAnsi="Times New Roman" w:cs="Times New Roman"/>
          <w:sz w:val="24"/>
          <w:szCs w:val="24"/>
        </w:rPr>
        <w:t xml:space="preserve">actual </w:t>
      </w:r>
      <w:r w:rsidR="0001596E" w:rsidRPr="00E07B7E">
        <w:rPr>
          <w:rFonts w:ascii="Times New Roman" w:hAnsi="Times New Roman" w:cs="Times New Roman"/>
          <w:sz w:val="24"/>
          <w:szCs w:val="24"/>
        </w:rPr>
        <w:t>outcomes for complainants</w:t>
      </w:r>
      <w:r w:rsidR="00E57A66">
        <w:rPr>
          <w:rFonts w:ascii="Times New Roman" w:hAnsi="Times New Roman" w:cs="Times New Roman"/>
          <w:sz w:val="24"/>
          <w:szCs w:val="24"/>
        </w:rPr>
        <w:t>, this</w:t>
      </w:r>
      <w:r w:rsidR="0001596E" w:rsidRPr="00E07B7E">
        <w:rPr>
          <w:rFonts w:ascii="Times New Roman" w:hAnsi="Times New Roman" w:cs="Times New Roman"/>
          <w:sz w:val="24"/>
          <w:szCs w:val="24"/>
        </w:rPr>
        <w:t xml:space="preserve"> raises </w:t>
      </w:r>
      <w:r w:rsidR="00101A6C">
        <w:rPr>
          <w:rFonts w:ascii="Times New Roman" w:hAnsi="Times New Roman" w:cs="Times New Roman"/>
          <w:sz w:val="24"/>
          <w:szCs w:val="24"/>
        </w:rPr>
        <w:t xml:space="preserve">serious </w:t>
      </w:r>
      <w:r w:rsidR="0001596E" w:rsidRPr="00E07B7E">
        <w:rPr>
          <w:rFonts w:ascii="Times New Roman" w:hAnsi="Times New Roman" w:cs="Times New Roman"/>
          <w:sz w:val="24"/>
          <w:szCs w:val="24"/>
        </w:rPr>
        <w:t>questions about the UNGPs’ effectiveness criteria as a measure of effective remedy.</w:t>
      </w:r>
      <w:r w:rsidR="00B945CF">
        <w:rPr>
          <w:rStyle w:val="FootnoteReference"/>
          <w:rFonts w:ascii="Times New Roman" w:hAnsi="Times New Roman" w:cs="Times New Roman"/>
          <w:sz w:val="24"/>
          <w:szCs w:val="24"/>
        </w:rPr>
        <w:footnoteReference w:id="110"/>
      </w:r>
      <w:r w:rsidR="0001596E" w:rsidRPr="00E07B7E">
        <w:rPr>
          <w:rFonts w:ascii="Times New Roman" w:hAnsi="Times New Roman" w:cs="Times New Roman"/>
          <w:sz w:val="24"/>
          <w:szCs w:val="24"/>
        </w:rPr>
        <w:t xml:space="preserve"> </w:t>
      </w:r>
      <w:r>
        <w:rPr>
          <w:rFonts w:ascii="Times New Roman" w:hAnsi="Times New Roman" w:cs="Times New Roman"/>
          <w:sz w:val="24"/>
          <w:szCs w:val="24"/>
        </w:rPr>
        <w:t>T</w:t>
      </w:r>
      <w:r w:rsidR="0001596E" w:rsidRPr="00E07B7E">
        <w:rPr>
          <w:rFonts w:ascii="Times New Roman" w:hAnsi="Times New Roman" w:cs="Times New Roman"/>
          <w:sz w:val="24"/>
          <w:szCs w:val="24"/>
        </w:rPr>
        <w:t>hey appear insufficient</w:t>
      </w:r>
      <w:r w:rsidR="004F415B">
        <w:rPr>
          <w:rFonts w:ascii="Times New Roman" w:hAnsi="Times New Roman" w:cs="Times New Roman"/>
          <w:sz w:val="24"/>
          <w:szCs w:val="24"/>
        </w:rPr>
        <w:t xml:space="preserve"> to distinguish between </w:t>
      </w:r>
      <w:r w:rsidR="00C60D60">
        <w:rPr>
          <w:rFonts w:ascii="Times New Roman" w:hAnsi="Times New Roman" w:cs="Times New Roman"/>
          <w:sz w:val="24"/>
          <w:szCs w:val="24"/>
        </w:rPr>
        <w:t>NSBGMs</w:t>
      </w:r>
      <w:r w:rsidR="004F415B">
        <w:rPr>
          <w:rFonts w:ascii="Times New Roman" w:hAnsi="Times New Roman" w:cs="Times New Roman"/>
          <w:sz w:val="24"/>
          <w:szCs w:val="24"/>
        </w:rPr>
        <w:t xml:space="preserve"> that are actually producing effective remedies for rightsholders and those that are not</w:t>
      </w:r>
      <w:r w:rsidR="00D76D30">
        <w:rPr>
          <w:rFonts w:ascii="Times New Roman" w:hAnsi="Times New Roman" w:cs="Times New Roman"/>
          <w:sz w:val="24"/>
          <w:szCs w:val="24"/>
        </w:rPr>
        <w:t xml:space="preserve">. </w:t>
      </w:r>
      <w:r w:rsidR="005A5786">
        <w:rPr>
          <w:rFonts w:ascii="Times New Roman" w:hAnsi="Times New Roman" w:cs="Times New Roman"/>
          <w:sz w:val="24"/>
          <w:szCs w:val="24"/>
        </w:rPr>
        <w:t>However, they remain the primary point of engagement for NSBGMs when thinking about issues relating to effective remedy. RSPO is one of many NSBGMs</w:t>
      </w:r>
      <w:r w:rsidR="005A5786" w:rsidRPr="006A3B66">
        <w:rPr>
          <w:rFonts w:ascii="Times New Roman" w:hAnsi="Times New Roman"/>
          <w:sz w:val="24"/>
        </w:rPr>
        <w:t xml:space="preserve"> which </w:t>
      </w:r>
      <w:r w:rsidR="005A5786">
        <w:rPr>
          <w:rFonts w:ascii="Times New Roman" w:hAnsi="Times New Roman" w:cs="Times New Roman"/>
          <w:sz w:val="24"/>
          <w:szCs w:val="24"/>
        </w:rPr>
        <w:t xml:space="preserve">has sought to strengthen its complaints mechanism with reference to the UNGPs’ effectiveness criteria. </w:t>
      </w:r>
      <w:r w:rsidR="00636AE4">
        <w:rPr>
          <w:rFonts w:ascii="Times New Roman" w:hAnsi="Times New Roman" w:cs="Times New Roman"/>
          <w:sz w:val="24"/>
          <w:szCs w:val="24"/>
        </w:rPr>
        <w:t xml:space="preserve">While the UNGPs and the UN Working Group both stress the importance of outcomes in </w:t>
      </w:r>
      <w:r w:rsidR="00636AE4">
        <w:rPr>
          <w:rFonts w:ascii="Times New Roman" w:hAnsi="Times New Roman" w:cs="Times New Roman"/>
          <w:sz w:val="24"/>
          <w:szCs w:val="24"/>
        </w:rPr>
        <w:lastRenderedPageBreak/>
        <w:t>determining effective remedies they have not yet operationalized this in a way that has significantly influenced the practice of evaluating and reforming NSBGMs.</w:t>
      </w:r>
    </w:p>
    <w:p w14:paraId="7ED6866C" w14:textId="5BB456B5" w:rsidR="003E0329" w:rsidRPr="00E07B7E" w:rsidRDefault="005A5786" w:rsidP="001659DC">
      <w:pPr>
        <w:spacing w:line="360" w:lineRule="auto"/>
        <w:ind w:firstLine="360"/>
        <w:rPr>
          <w:rFonts w:ascii="Times New Roman" w:hAnsi="Times New Roman" w:cs="Times New Roman"/>
          <w:sz w:val="24"/>
          <w:szCs w:val="24"/>
        </w:rPr>
      </w:pPr>
      <w:r>
        <w:rPr>
          <w:rFonts w:ascii="Times New Roman" w:hAnsi="Times New Roman" w:cs="Times New Roman"/>
          <w:sz w:val="24"/>
          <w:szCs w:val="24"/>
          <w:lang w:val="en-GB"/>
        </w:rPr>
        <w:t>F</w:t>
      </w:r>
      <w:r w:rsidR="00F1212C">
        <w:rPr>
          <w:rFonts w:ascii="Times New Roman" w:hAnsi="Times New Roman" w:cs="Times New Roman"/>
          <w:sz w:val="24"/>
          <w:szCs w:val="24"/>
          <w:lang w:val="en-GB"/>
        </w:rPr>
        <w:t xml:space="preserve">uture studies </w:t>
      </w:r>
      <w:r w:rsidR="00941875">
        <w:rPr>
          <w:rFonts w:ascii="Times New Roman" w:hAnsi="Times New Roman" w:cs="Times New Roman"/>
          <w:sz w:val="24"/>
          <w:szCs w:val="24"/>
        </w:rPr>
        <w:t xml:space="preserve">of other NSBGMs </w:t>
      </w:r>
      <w:r>
        <w:rPr>
          <w:rFonts w:ascii="Times New Roman" w:hAnsi="Times New Roman" w:cs="Times New Roman"/>
          <w:sz w:val="24"/>
          <w:szCs w:val="24"/>
        </w:rPr>
        <w:t>should therefore</w:t>
      </w:r>
      <w:r w:rsidR="00F1212C">
        <w:rPr>
          <w:rFonts w:ascii="Times New Roman" w:hAnsi="Times New Roman" w:cs="Times New Roman"/>
          <w:sz w:val="24"/>
          <w:szCs w:val="24"/>
        </w:rPr>
        <w:t xml:space="preserve"> </w:t>
      </w:r>
      <w:r w:rsidR="00EA5E85">
        <w:rPr>
          <w:rFonts w:ascii="Times New Roman" w:hAnsi="Times New Roman" w:cs="Times New Roman"/>
          <w:sz w:val="24"/>
          <w:szCs w:val="24"/>
        </w:rPr>
        <w:t xml:space="preserve">carefully </w:t>
      </w:r>
      <w:r w:rsidR="004F415B">
        <w:rPr>
          <w:rFonts w:ascii="Times New Roman" w:hAnsi="Times New Roman" w:cs="Times New Roman"/>
          <w:sz w:val="24"/>
          <w:szCs w:val="24"/>
        </w:rPr>
        <w:t>examin</w:t>
      </w:r>
      <w:r>
        <w:rPr>
          <w:rFonts w:ascii="Times New Roman" w:hAnsi="Times New Roman" w:cs="Times New Roman"/>
          <w:sz w:val="24"/>
          <w:szCs w:val="24"/>
        </w:rPr>
        <w:t>e</w:t>
      </w:r>
      <w:r w:rsidR="0001596E" w:rsidRPr="00E07B7E">
        <w:rPr>
          <w:rFonts w:ascii="Times New Roman" w:hAnsi="Times New Roman" w:cs="Times New Roman"/>
          <w:sz w:val="24"/>
          <w:szCs w:val="24"/>
        </w:rPr>
        <w:t xml:space="preserve"> outcomes </w:t>
      </w:r>
      <w:r w:rsidR="004F415B">
        <w:rPr>
          <w:rFonts w:ascii="Times New Roman" w:hAnsi="Times New Roman" w:cs="Times New Roman"/>
          <w:sz w:val="24"/>
          <w:szCs w:val="24"/>
        </w:rPr>
        <w:t>for complainants</w:t>
      </w:r>
      <w:r w:rsidR="00714C94">
        <w:rPr>
          <w:rFonts w:ascii="Times New Roman" w:hAnsi="Times New Roman" w:cs="Times New Roman"/>
          <w:sz w:val="24"/>
          <w:szCs w:val="24"/>
        </w:rPr>
        <w:t>,</w:t>
      </w:r>
      <w:r w:rsidR="004F415B">
        <w:rPr>
          <w:rFonts w:ascii="Times New Roman" w:hAnsi="Times New Roman" w:cs="Times New Roman"/>
          <w:sz w:val="24"/>
          <w:szCs w:val="24"/>
        </w:rPr>
        <w:t xml:space="preserve"> </w:t>
      </w:r>
      <w:r w:rsidR="00941875">
        <w:rPr>
          <w:rFonts w:ascii="Times New Roman" w:hAnsi="Times New Roman" w:cs="Times New Roman"/>
          <w:sz w:val="24"/>
          <w:szCs w:val="24"/>
        </w:rPr>
        <w:t xml:space="preserve">alongside </w:t>
      </w:r>
      <w:r w:rsidR="00741658">
        <w:rPr>
          <w:rFonts w:ascii="Times New Roman" w:hAnsi="Times New Roman" w:cs="Times New Roman"/>
          <w:sz w:val="24"/>
          <w:szCs w:val="24"/>
        </w:rPr>
        <w:t>revised</w:t>
      </w:r>
      <w:r w:rsidR="00101A6C">
        <w:rPr>
          <w:rFonts w:ascii="Times New Roman" w:hAnsi="Times New Roman" w:cs="Times New Roman"/>
          <w:sz w:val="24"/>
          <w:szCs w:val="24"/>
        </w:rPr>
        <w:t xml:space="preserve"> procedural criteria</w:t>
      </w:r>
      <w:r w:rsidR="00714C94">
        <w:rPr>
          <w:rFonts w:ascii="Times New Roman" w:hAnsi="Times New Roman" w:cs="Times New Roman"/>
          <w:sz w:val="24"/>
          <w:szCs w:val="24"/>
        </w:rPr>
        <w:t xml:space="preserve"> which </w:t>
      </w:r>
      <w:proofErr w:type="spellStart"/>
      <w:r w:rsidR="00714C94">
        <w:rPr>
          <w:rFonts w:ascii="Times New Roman" w:hAnsi="Times New Roman" w:cs="Times New Roman"/>
          <w:sz w:val="24"/>
          <w:szCs w:val="24"/>
        </w:rPr>
        <w:t>prioritise</w:t>
      </w:r>
      <w:proofErr w:type="spellEnd"/>
      <w:r w:rsidR="00714C94">
        <w:rPr>
          <w:rFonts w:ascii="Times New Roman" w:hAnsi="Times New Roman" w:cs="Times New Roman"/>
          <w:sz w:val="24"/>
          <w:szCs w:val="24"/>
        </w:rPr>
        <w:t xml:space="preserve"> issues of greatest importance to rightsholders, such as the length of time cases </w:t>
      </w:r>
      <w:proofErr w:type="gramStart"/>
      <w:r w:rsidR="00714C94">
        <w:rPr>
          <w:rFonts w:ascii="Times New Roman" w:hAnsi="Times New Roman" w:cs="Times New Roman"/>
          <w:sz w:val="24"/>
          <w:szCs w:val="24"/>
        </w:rPr>
        <w:t>actually take</w:t>
      </w:r>
      <w:proofErr w:type="gramEnd"/>
      <w:r w:rsidR="00714C94">
        <w:rPr>
          <w:rFonts w:ascii="Times New Roman" w:hAnsi="Times New Roman" w:cs="Times New Roman"/>
          <w:sz w:val="24"/>
          <w:szCs w:val="24"/>
        </w:rPr>
        <w:t xml:space="preserve"> in practice</w:t>
      </w:r>
      <w:r w:rsidR="00E56235">
        <w:rPr>
          <w:rFonts w:ascii="Times New Roman" w:hAnsi="Times New Roman" w:cs="Times New Roman"/>
          <w:sz w:val="24"/>
          <w:szCs w:val="24"/>
        </w:rPr>
        <w:t xml:space="preserve">. </w:t>
      </w:r>
      <w:r>
        <w:rPr>
          <w:rFonts w:ascii="Times New Roman" w:hAnsi="Times New Roman" w:cs="Times New Roman"/>
          <w:sz w:val="24"/>
          <w:szCs w:val="24"/>
        </w:rPr>
        <w:t xml:space="preserve">We have provided an approach and methodology that can be utilized in other studies, although we recognize that study of other NSBGMs will require addressing new methodological issues that have not been an issue in our case, such as how to deal with cases where </w:t>
      </w:r>
      <w:r w:rsidRPr="005A5786">
        <w:rPr>
          <w:rFonts w:ascii="Times New Roman" w:hAnsi="Times New Roman" w:cs="Times New Roman"/>
          <w:sz w:val="24"/>
          <w:szCs w:val="24"/>
        </w:rPr>
        <w:t xml:space="preserve">the perspectives of rightsholders on whether the remedy </w:t>
      </w:r>
      <w:r>
        <w:rPr>
          <w:rFonts w:ascii="Times New Roman" w:hAnsi="Times New Roman" w:cs="Times New Roman"/>
          <w:sz w:val="24"/>
          <w:szCs w:val="24"/>
        </w:rPr>
        <w:t>was</w:t>
      </w:r>
      <w:r w:rsidRPr="005A5786">
        <w:rPr>
          <w:rFonts w:ascii="Times New Roman" w:hAnsi="Times New Roman" w:cs="Times New Roman"/>
          <w:sz w:val="24"/>
          <w:szCs w:val="24"/>
        </w:rPr>
        <w:t xml:space="preserve"> effective </w:t>
      </w:r>
      <w:r>
        <w:rPr>
          <w:rFonts w:ascii="Times New Roman" w:hAnsi="Times New Roman" w:cs="Times New Roman"/>
          <w:sz w:val="24"/>
          <w:szCs w:val="24"/>
        </w:rPr>
        <w:t>differed from the way in which it</w:t>
      </w:r>
      <w:r w:rsidRPr="005A5786">
        <w:rPr>
          <w:rFonts w:ascii="Times New Roman" w:hAnsi="Times New Roman" w:cs="Times New Roman"/>
          <w:sz w:val="24"/>
          <w:szCs w:val="24"/>
        </w:rPr>
        <w:t xml:space="preserve"> was presented by the relevant authority</w:t>
      </w:r>
      <w:r>
        <w:rPr>
          <w:rFonts w:ascii="Times New Roman" w:hAnsi="Times New Roman" w:cs="Times New Roman"/>
          <w:sz w:val="24"/>
          <w:szCs w:val="24"/>
        </w:rPr>
        <w:t>. A more significant impediment to such future study is the absence of levels of</w:t>
      </w:r>
      <w:r w:rsidR="00636AE4">
        <w:rPr>
          <w:rFonts w:ascii="Times New Roman" w:hAnsi="Times New Roman" w:cs="Times New Roman"/>
          <w:sz w:val="24"/>
          <w:szCs w:val="24"/>
        </w:rPr>
        <w:t xml:space="preserve"> transparency </w:t>
      </w:r>
      <w:r>
        <w:rPr>
          <w:rFonts w:ascii="Times New Roman" w:hAnsi="Times New Roman" w:cs="Times New Roman"/>
          <w:sz w:val="24"/>
          <w:szCs w:val="24"/>
        </w:rPr>
        <w:t xml:space="preserve">in the majority of NSBGMs </w:t>
      </w:r>
      <w:r w:rsidR="00636AE4">
        <w:rPr>
          <w:rFonts w:ascii="Times New Roman" w:hAnsi="Times New Roman" w:cs="Times New Roman"/>
          <w:sz w:val="24"/>
          <w:szCs w:val="24"/>
        </w:rPr>
        <w:t xml:space="preserve">which </w:t>
      </w:r>
      <w:r>
        <w:rPr>
          <w:rFonts w:ascii="Times New Roman" w:hAnsi="Times New Roman" w:cs="Times New Roman"/>
          <w:sz w:val="24"/>
          <w:szCs w:val="24"/>
        </w:rPr>
        <w:t>made our study possible</w:t>
      </w:r>
      <w:r w:rsidR="00636AE4">
        <w:rPr>
          <w:rFonts w:ascii="Times New Roman" w:hAnsi="Times New Roman" w:cs="Times New Roman"/>
          <w:sz w:val="24"/>
          <w:szCs w:val="24"/>
        </w:rPr>
        <w:t xml:space="preserve">. </w:t>
      </w:r>
      <w:r w:rsidR="00E56235">
        <w:rPr>
          <w:rFonts w:ascii="Times New Roman" w:hAnsi="Times New Roman" w:cs="Times New Roman"/>
          <w:sz w:val="24"/>
          <w:szCs w:val="24"/>
        </w:rPr>
        <w:t>It is</w:t>
      </w:r>
      <w:r w:rsidR="00714C94">
        <w:rPr>
          <w:rFonts w:ascii="Times New Roman" w:hAnsi="Times New Roman" w:cs="Times New Roman"/>
          <w:sz w:val="24"/>
          <w:szCs w:val="24"/>
        </w:rPr>
        <w:t xml:space="preserve"> </w:t>
      </w:r>
      <w:r w:rsidR="00E56235">
        <w:rPr>
          <w:rFonts w:ascii="Times New Roman" w:hAnsi="Times New Roman" w:cs="Times New Roman"/>
          <w:sz w:val="24"/>
          <w:szCs w:val="24"/>
        </w:rPr>
        <w:t>reasonable to</w:t>
      </w:r>
      <w:r w:rsidR="0001596E" w:rsidRPr="00E07B7E">
        <w:rPr>
          <w:rFonts w:ascii="Times New Roman" w:hAnsi="Times New Roman" w:cs="Times New Roman"/>
          <w:sz w:val="24"/>
          <w:szCs w:val="24"/>
        </w:rPr>
        <w:t xml:space="preserve"> expect the most transparent mechanisms to be the </w:t>
      </w:r>
      <w:r w:rsidR="00E56235">
        <w:rPr>
          <w:rFonts w:ascii="Times New Roman" w:hAnsi="Times New Roman" w:cs="Times New Roman"/>
          <w:sz w:val="24"/>
          <w:szCs w:val="24"/>
        </w:rPr>
        <w:t>ones that perform best for rightsholders in practice</w:t>
      </w:r>
      <w:r w:rsidR="00D76D30">
        <w:rPr>
          <w:rFonts w:ascii="Times New Roman" w:hAnsi="Times New Roman" w:cs="Times New Roman"/>
          <w:sz w:val="24"/>
          <w:szCs w:val="24"/>
        </w:rPr>
        <w:t>.</w:t>
      </w:r>
      <w:r w:rsidR="0001596E" w:rsidRPr="00E07B7E">
        <w:rPr>
          <w:rFonts w:ascii="Times New Roman" w:hAnsi="Times New Roman" w:cs="Times New Roman"/>
          <w:sz w:val="24"/>
          <w:szCs w:val="24"/>
        </w:rPr>
        <w:t xml:space="preserve"> </w:t>
      </w:r>
      <w:r w:rsidR="00D76D30">
        <w:rPr>
          <w:rFonts w:ascii="Times New Roman" w:hAnsi="Times New Roman" w:cs="Times New Roman"/>
          <w:sz w:val="24"/>
          <w:szCs w:val="24"/>
        </w:rPr>
        <w:t>T</w:t>
      </w:r>
      <w:r w:rsidR="0001596E" w:rsidRPr="00E07B7E">
        <w:rPr>
          <w:rFonts w:ascii="Times New Roman" w:hAnsi="Times New Roman" w:cs="Times New Roman"/>
          <w:sz w:val="24"/>
          <w:szCs w:val="24"/>
        </w:rPr>
        <w:t>heir proponents have put them on s</w:t>
      </w:r>
      <w:r w:rsidR="003E0329" w:rsidRPr="00E07B7E">
        <w:rPr>
          <w:rFonts w:ascii="Times New Roman" w:hAnsi="Times New Roman" w:cs="Times New Roman"/>
          <w:sz w:val="24"/>
          <w:szCs w:val="24"/>
        </w:rPr>
        <w:t>how because they are sufficiently confident to open them up to scrutiny</w:t>
      </w:r>
      <w:r w:rsidR="0001596E" w:rsidRPr="00E07B7E">
        <w:rPr>
          <w:rFonts w:ascii="Times New Roman" w:hAnsi="Times New Roman" w:cs="Times New Roman"/>
          <w:sz w:val="24"/>
          <w:szCs w:val="24"/>
        </w:rPr>
        <w:t xml:space="preserve">. </w:t>
      </w:r>
      <w:r w:rsidR="00E56235">
        <w:rPr>
          <w:rFonts w:ascii="Times New Roman" w:hAnsi="Times New Roman" w:cs="Times New Roman"/>
          <w:sz w:val="24"/>
          <w:szCs w:val="24"/>
        </w:rPr>
        <w:t>T</w:t>
      </w:r>
      <w:r w:rsidR="003E0329" w:rsidRPr="00E07B7E">
        <w:rPr>
          <w:rFonts w:ascii="Times New Roman" w:hAnsi="Times New Roman" w:cs="Times New Roman"/>
          <w:sz w:val="24"/>
          <w:szCs w:val="24"/>
        </w:rPr>
        <w:t xml:space="preserve">he failings of RSPO </w:t>
      </w:r>
      <w:r w:rsidR="00E56235">
        <w:rPr>
          <w:rFonts w:ascii="Times New Roman" w:hAnsi="Times New Roman" w:cs="Times New Roman"/>
          <w:sz w:val="24"/>
          <w:szCs w:val="24"/>
        </w:rPr>
        <w:t>should therefore</w:t>
      </w:r>
      <w:r w:rsidR="0001596E" w:rsidRPr="00E07B7E">
        <w:rPr>
          <w:rFonts w:ascii="Times New Roman" w:hAnsi="Times New Roman" w:cs="Times New Roman"/>
          <w:sz w:val="24"/>
          <w:szCs w:val="24"/>
        </w:rPr>
        <w:t xml:space="preserve"> </w:t>
      </w:r>
      <w:r w:rsidR="00E56235">
        <w:rPr>
          <w:rFonts w:ascii="Times New Roman" w:hAnsi="Times New Roman" w:cs="Times New Roman"/>
          <w:sz w:val="24"/>
          <w:szCs w:val="24"/>
        </w:rPr>
        <w:t>increase</w:t>
      </w:r>
      <w:r w:rsidR="0001596E" w:rsidRPr="00E07B7E">
        <w:rPr>
          <w:rFonts w:ascii="Times New Roman" w:hAnsi="Times New Roman" w:cs="Times New Roman"/>
          <w:sz w:val="24"/>
          <w:szCs w:val="24"/>
        </w:rPr>
        <w:t xml:space="preserve"> s</w:t>
      </w:r>
      <w:r w:rsidR="00E56235">
        <w:rPr>
          <w:rFonts w:ascii="Times New Roman" w:hAnsi="Times New Roman" w:cs="Times New Roman"/>
          <w:sz w:val="24"/>
          <w:szCs w:val="24"/>
        </w:rPr>
        <w:t>k</w:t>
      </w:r>
      <w:r w:rsidR="0001596E" w:rsidRPr="00E07B7E">
        <w:rPr>
          <w:rFonts w:ascii="Times New Roman" w:hAnsi="Times New Roman" w:cs="Times New Roman"/>
          <w:sz w:val="24"/>
          <w:szCs w:val="24"/>
        </w:rPr>
        <w:t>eptic</w:t>
      </w:r>
      <w:r w:rsidR="00E56235">
        <w:rPr>
          <w:rFonts w:ascii="Times New Roman" w:hAnsi="Times New Roman" w:cs="Times New Roman"/>
          <w:sz w:val="24"/>
          <w:szCs w:val="24"/>
        </w:rPr>
        <w:t>ism</w:t>
      </w:r>
      <w:r w:rsidR="0001596E" w:rsidRPr="00E07B7E">
        <w:rPr>
          <w:rFonts w:ascii="Times New Roman" w:hAnsi="Times New Roman" w:cs="Times New Roman"/>
          <w:sz w:val="24"/>
          <w:szCs w:val="24"/>
        </w:rPr>
        <w:t xml:space="preserve"> about </w:t>
      </w:r>
      <w:r w:rsidR="00E56235">
        <w:rPr>
          <w:rFonts w:ascii="Times New Roman" w:hAnsi="Times New Roman" w:cs="Times New Roman"/>
          <w:sz w:val="24"/>
          <w:szCs w:val="24"/>
        </w:rPr>
        <w:t>NSBGMs</w:t>
      </w:r>
      <w:r w:rsidR="0001596E" w:rsidRPr="00E07B7E">
        <w:rPr>
          <w:rFonts w:ascii="Times New Roman" w:hAnsi="Times New Roman" w:cs="Times New Roman"/>
          <w:sz w:val="24"/>
          <w:szCs w:val="24"/>
        </w:rPr>
        <w:t xml:space="preserve"> which are not transparent. </w:t>
      </w:r>
      <w:r w:rsidR="003E0329" w:rsidRPr="00E07B7E">
        <w:rPr>
          <w:rFonts w:ascii="Times New Roman" w:hAnsi="Times New Roman" w:cs="Times New Roman"/>
          <w:sz w:val="24"/>
          <w:szCs w:val="24"/>
        </w:rPr>
        <w:t xml:space="preserve"> </w:t>
      </w:r>
      <w:r w:rsidR="00343862">
        <w:rPr>
          <w:rFonts w:ascii="Times New Roman" w:hAnsi="Times New Roman" w:cs="Times New Roman"/>
          <w:sz w:val="24"/>
          <w:szCs w:val="24"/>
        </w:rPr>
        <w:t>C</w:t>
      </w:r>
      <w:r w:rsidR="00343862" w:rsidRPr="00EF73A3">
        <w:rPr>
          <w:rFonts w:ascii="Times New Roman" w:hAnsi="Times New Roman" w:cs="Times New Roman"/>
          <w:sz w:val="24"/>
          <w:szCs w:val="24"/>
        </w:rPr>
        <w:t>laim</w:t>
      </w:r>
      <w:r w:rsidR="00343862">
        <w:rPr>
          <w:rFonts w:ascii="Times New Roman" w:hAnsi="Times New Roman" w:cs="Times New Roman"/>
          <w:sz w:val="24"/>
          <w:szCs w:val="24"/>
        </w:rPr>
        <w:t>s</w:t>
      </w:r>
      <w:r w:rsidR="00343862" w:rsidRPr="00EF73A3">
        <w:rPr>
          <w:rFonts w:ascii="Times New Roman" w:hAnsi="Times New Roman" w:cs="Times New Roman"/>
          <w:sz w:val="24"/>
          <w:szCs w:val="24"/>
        </w:rPr>
        <w:t xml:space="preserve"> about providing an ‘effective remedy’</w:t>
      </w:r>
      <w:r w:rsidR="00343862">
        <w:rPr>
          <w:rFonts w:ascii="Times New Roman" w:hAnsi="Times New Roman" w:cs="Times New Roman"/>
          <w:sz w:val="24"/>
          <w:szCs w:val="24"/>
        </w:rPr>
        <w:t xml:space="preserve"> should only be treated seriously if mechanisms</w:t>
      </w:r>
      <w:r w:rsidR="003E0329" w:rsidRPr="00E07B7E">
        <w:rPr>
          <w:rFonts w:ascii="Times New Roman" w:hAnsi="Times New Roman" w:cs="Times New Roman"/>
          <w:sz w:val="24"/>
          <w:szCs w:val="24"/>
        </w:rPr>
        <w:t xml:space="preserve"> </w:t>
      </w:r>
      <w:r w:rsidR="00343862">
        <w:rPr>
          <w:rFonts w:ascii="Times New Roman" w:hAnsi="Times New Roman" w:cs="Times New Roman"/>
          <w:sz w:val="24"/>
          <w:szCs w:val="24"/>
        </w:rPr>
        <w:t xml:space="preserve">provide sufficient information </w:t>
      </w:r>
      <w:r w:rsidR="003E0329" w:rsidRPr="00E07B7E">
        <w:rPr>
          <w:rFonts w:ascii="Times New Roman" w:hAnsi="Times New Roman" w:cs="Times New Roman"/>
          <w:sz w:val="24"/>
          <w:szCs w:val="24"/>
        </w:rPr>
        <w:t xml:space="preserve">to </w:t>
      </w:r>
      <w:r w:rsidR="00343862">
        <w:rPr>
          <w:rFonts w:ascii="Times New Roman" w:hAnsi="Times New Roman" w:cs="Times New Roman"/>
          <w:sz w:val="24"/>
          <w:szCs w:val="24"/>
        </w:rPr>
        <w:t xml:space="preserve">allow for </w:t>
      </w:r>
      <w:r w:rsidR="00C52D0A">
        <w:rPr>
          <w:rFonts w:ascii="Times New Roman" w:hAnsi="Times New Roman" w:cs="Times New Roman"/>
          <w:sz w:val="24"/>
          <w:szCs w:val="24"/>
        </w:rPr>
        <w:t xml:space="preserve">serious scrutiny of outcomes. </w:t>
      </w:r>
    </w:p>
    <w:p w14:paraId="5DC4AE17" w14:textId="4C93EAF3" w:rsidR="00133F93" w:rsidRDefault="00133F93" w:rsidP="001659D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5914A91" w14:textId="77777777" w:rsidR="00133F93" w:rsidRPr="00E07B7E" w:rsidRDefault="00133F93" w:rsidP="001659DC">
      <w:pPr>
        <w:spacing w:line="360" w:lineRule="auto"/>
        <w:ind w:firstLine="360"/>
        <w:rPr>
          <w:rFonts w:ascii="Times New Roman" w:hAnsi="Times New Roman" w:cs="Times New Roman"/>
          <w:sz w:val="24"/>
          <w:szCs w:val="24"/>
        </w:rPr>
      </w:pPr>
    </w:p>
    <w:p w14:paraId="11E67E76" w14:textId="77777777" w:rsidR="00133F93" w:rsidRPr="00E07B7E" w:rsidRDefault="00133F93" w:rsidP="001659DC">
      <w:pPr>
        <w:spacing w:line="360" w:lineRule="auto"/>
        <w:ind w:firstLine="360"/>
        <w:jc w:val="center"/>
        <w:rPr>
          <w:rFonts w:ascii="Times New Roman" w:hAnsi="Times New Roman" w:cs="Times New Roman"/>
          <w:b/>
          <w:sz w:val="24"/>
          <w:szCs w:val="24"/>
        </w:rPr>
      </w:pPr>
      <w:r w:rsidRPr="00E07B7E">
        <w:rPr>
          <w:rFonts w:ascii="Times New Roman" w:hAnsi="Times New Roman" w:cs="Times New Roman"/>
          <w:b/>
          <w:sz w:val="24"/>
          <w:szCs w:val="24"/>
        </w:rPr>
        <w:t xml:space="preserve">Table </w:t>
      </w:r>
      <w:proofErr w:type="gramStart"/>
      <w:r w:rsidRPr="00E07B7E">
        <w:rPr>
          <w:rFonts w:ascii="Times New Roman" w:hAnsi="Times New Roman" w:cs="Times New Roman"/>
          <w:b/>
          <w:sz w:val="24"/>
          <w:szCs w:val="24"/>
        </w:rPr>
        <w:t>1  Claim</w:t>
      </w:r>
      <w:proofErr w:type="gramEnd"/>
      <w:r w:rsidRPr="00E07B7E">
        <w:rPr>
          <w:rFonts w:ascii="Times New Roman" w:hAnsi="Times New Roman" w:cs="Times New Roman"/>
          <w:b/>
          <w:sz w:val="24"/>
          <w:szCs w:val="24"/>
        </w:rPr>
        <w:t xml:space="preserve"> </w:t>
      </w:r>
      <w:r>
        <w:rPr>
          <w:rFonts w:ascii="Times New Roman" w:hAnsi="Times New Roman" w:cs="Times New Roman"/>
          <w:b/>
          <w:sz w:val="24"/>
          <w:szCs w:val="24"/>
        </w:rPr>
        <w:t xml:space="preserve">Groups </w:t>
      </w:r>
    </w:p>
    <w:tbl>
      <w:tblPr>
        <w:tblStyle w:val="TableGrid"/>
        <w:tblW w:w="10386" w:type="dxa"/>
        <w:tblInd w:w="-185" w:type="dxa"/>
        <w:tblLayout w:type="fixed"/>
        <w:tblLook w:val="04A0" w:firstRow="1" w:lastRow="0" w:firstColumn="1" w:lastColumn="0" w:noHBand="0" w:noVBand="1"/>
      </w:tblPr>
      <w:tblGrid>
        <w:gridCol w:w="1314"/>
        <w:gridCol w:w="993"/>
        <w:gridCol w:w="992"/>
        <w:gridCol w:w="1291"/>
        <w:gridCol w:w="1260"/>
        <w:gridCol w:w="1134"/>
        <w:gridCol w:w="1418"/>
        <w:gridCol w:w="1984"/>
      </w:tblGrid>
      <w:tr w:rsidR="00133F93" w:rsidRPr="00954441" w14:paraId="34B2509C" w14:textId="77777777" w:rsidTr="00366E9B">
        <w:tc>
          <w:tcPr>
            <w:tcW w:w="1314" w:type="dxa"/>
          </w:tcPr>
          <w:p w14:paraId="528E29E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Claim</w:t>
            </w:r>
          </w:p>
        </w:tc>
        <w:tc>
          <w:tcPr>
            <w:tcW w:w="993" w:type="dxa"/>
          </w:tcPr>
          <w:p w14:paraId="32EAE6E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Total Claims</w:t>
            </w:r>
          </w:p>
        </w:tc>
        <w:tc>
          <w:tcPr>
            <w:tcW w:w="992" w:type="dxa"/>
          </w:tcPr>
          <w:p w14:paraId="78A9E1AB"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Human Rights Claims</w:t>
            </w:r>
          </w:p>
        </w:tc>
        <w:tc>
          <w:tcPr>
            <w:tcW w:w="1291" w:type="dxa"/>
          </w:tcPr>
          <w:p w14:paraId="28435994"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3</w:t>
            </w:r>
          </w:p>
          <w:p w14:paraId="3AD0515E"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Claims Settled by Agreement</w:t>
            </w:r>
          </w:p>
        </w:tc>
        <w:tc>
          <w:tcPr>
            <w:tcW w:w="1260" w:type="dxa"/>
          </w:tcPr>
          <w:p w14:paraId="64CE4B61"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2</w:t>
            </w:r>
          </w:p>
          <w:p w14:paraId="592EA5F9"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No Order in Favor of Claimant</w:t>
            </w:r>
          </w:p>
        </w:tc>
        <w:tc>
          <w:tcPr>
            <w:tcW w:w="4536" w:type="dxa"/>
            <w:gridSpan w:val="3"/>
          </w:tcPr>
          <w:p w14:paraId="6DA22436" w14:textId="77777777" w:rsidR="00133F93" w:rsidRPr="00E07B7E" w:rsidRDefault="00133F93" w:rsidP="001659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07B7E">
              <w:rPr>
                <w:rFonts w:ascii="Times New Roman" w:hAnsi="Times New Roman" w:cs="Times New Roman"/>
                <w:b/>
                <w:sz w:val="24"/>
                <w:szCs w:val="24"/>
              </w:rPr>
              <w:t>Group 1</w:t>
            </w:r>
          </w:p>
          <w:p w14:paraId="005414E5"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Order in Favor of Claimant</w:t>
            </w:r>
          </w:p>
        </w:tc>
      </w:tr>
      <w:tr w:rsidR="00133F93" w:rsidRPr="00954441" w14:paraId="38F31A36" w14:textId="77777777" w:rsidTr="00366E9B">
        <w:trPr>
          <w:trHeight w:val="440"/>
        </w:trPr>
        <w:tc>
          <w:tcPr>
            <w:tcW w:w="1314" w:type="dxa"/>
          </w:tcPr>
          <w:p w14:paraId="37CB4C16"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Number</w:t>
            </w:r>
          </w:p>
        </w:tc>
        <w:tc>
          <w:tcPr>
            <w:tcW w:w="993" w:type="dxa"/>
          </w:tcPr>
          <w:p w14:paraId="0D32C0EF"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5</w:t>
            </w:r>
            <w:r>
              <w:rPr>
                <w:rFonts w:ascii="Times New Roman" w:hAnsi="Times New Roman" w:cs="Times New Roman"/>
                <w:b/>
                <w:sz w:val="24"/>
                <w:szCs w:val="24"/>
              </w:rPr>
              <w:t>5</w:t>
            </w:r>
          </w:p>
        </w:tc>
        <w:tc>
          <w:tcPr>
            <w:tcW w:w="992" w:type="dxa"/>
          </w:tcPr>
          <w:p w14:paraId="6F205B9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w:t>
            </w:r>
            <w:r>
              <w:rPr>
                <w:rFonts w:ascii="Times New Roman" w:hAnsi="Times New Roman" w:cs="Times New Roman"/>
                <w:b/>
                <w:sz w:val="24"/>
                <w:szCs w:val="24"/>
              </w:rPr>
              <w:t>9</w:t>
            </w:r>
          </w:p>
        </w:tc>
        <w:tc>
          <w:tcPr>
            <w:tcW w:w="1291" w:type="dxa"/>
          </w:tcPr>
          <w:p w14:paraId="4767076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w:t>
            </w:r>
            <w:r>
              <w:rPr>
                <w:rFonts w:ascii="Times New Roman" w:hAnsi="Times New Roman" w:cs="Times New Roman"/>
                <w:b/>
                <w:sz w:val="24"/>
                <w:szCs w:val="24"/>
              </w:rPr>
              <w:t>11</w:t>
            </w:r>
          </w:p>
        </w:tc>
        <w:tc>
          <w:tcPr>
            <w:tcW w:w="1260" w:type="dxa"/>
          </w:tcPr>
          <w:p w14:paraId="5694AA67"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w:t>
            </w:r>
            <w:r>
              <w:rPr>
                <w:rFonts w:ascii="Times New Roman" w:hAnsi="Times New Roman" w:cs="Times New Roman"/>
                <w:b/>
                <w:sz w:val="24"/>
                <w:szCs w:val="24"/>
              </w:rPr>
              <w:t>8</w:t>
            </w:r>
          </w:p>
        </w:tc>
        <w:tc>
          <w:tcPr>
            <w:tcW w:w="4536" w:type="dxa"/>
            <w:gridSpan w:val="3"/>
          </w:tcPr>
          <w:p w14:paraId="205A080A" w14:textId="01F23348"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10</w:t>
            </w:r>
          </w:p>
        </w:tc>
      </w:tr>
      <w:tr w:rsidR="00133F93" w:rsidRPr="00954441" w14:paraId="61D19BA4" w14:textId="77777777" w:rsidTr="00366E9B">
        <w:trPr>
          <w:trHeight w:val="989"/>
        </w:trPr>
        <w:tc>
          <w:tcPr>
            <w:tcW w:w="1314" w:type="dxa"/>
          </w:tcPr>
          <w:p w14:paraId="61415465"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Subgroup</w:t>
            </w:r>
          </w:p>
        </w:tc>
        <w:tc>
          <w:tcPr>
            <w:tcW w:w="4536" w:type="dxa"/>
            <w:gridSpan w:val="4"/>
          </w:tcPr>
          <w:p w14:paraId="224F8B2C" w14:textId="77777777" w:rsidR="00133F93" w:rsidRPr="00E07B7E" w:rsidRDefault="00133F93" w:rsidP="001659DC">
            <w:pPr>
              <w:spacing w:line="360" w:lineRule="auto"/>
              <w:rPr>
                <w:rFonts w:ascii="Times New Roman" w:hAnsi="Times New Roman" w:cs="Times New Roman"/>
                <w:b/>
                <w:sz w:val="24"/>
                <w:szCs w:val="24"/>
              </w:rPr>
            </w:pPr>
          </w:p>
        </w:tc>
        <w:tc>
          <w:tcPr>
            <w:tcW w:w="1134" w:type="dxa"/>
          </w:tcPr>
          <w:p w14:paraId="609AE0B6"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1A</w:t>
            </w:r>
          </w:p>
          <w:p w14:paraId="30AB9C21"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Remedy Provided</w:t>
            </w:r>
          </w:p>
        </w:tc>
        <w:tc>
          <w:tcPr>
            <w:tcW w:w="1418" w:type="dxa"/>
          </w:tcPr>
          <w:p w14:paraId="42917B0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1B</w:t>
            </w:r>
          </w:p>
          <w:p w14:paraId="622A6C20"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Remedy Not Yet Provided</w:t>
            </w:r>
          </w:p>
        </w:tc>
        <w:tc>
          <w:tcPr>
            <w:tcW w:w="1984" w:type="dxa"/>
          </w:tcPr>
          <w:p w14:paraId="1082EFA1"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1 Group 1C</w:t>
            </w:r>
          </w:p>
          <w:p w14:paraId="0A2FAB77"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Respondent Leaves RSPO-No Remedy</w:t>
            </w:r>
          </w:p>
        </w:tc>
      </w:tr>
      <w:tr w:rsidR="00133F93" w:rsidRPr="00954441" w14:paraId="068BA022" w14:textId="77777777" w:rsidTr="00366E9B">
        <w:trPr>
          <w:trHeight w:val="431"/>
        </w:trPr>
        <w:tc>
          <w:tcPr>
            <w:tcW w:w="1314" w:type="dxa"/>
          </w:tcPr>
          <w:p w14:paraId="414CD13F"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Number</w:t>
            </w:r>
          </w:p>
        </w:tc>
        <w:tc>
          <w:tcPr>
            <w:tcW w:w="4536" w:type="dxa"/>
            <w:gridSpan w:val="4"/>
          </w:tcPr>
          <w:p w14:paraId="3B044297" w14:textId="77777777" w:rsidR="00133F93" w:rsidRPr="00E07B7E" w:rsidRDefault="00133F93" w:rsidP="001659DC">
            <w:pPr>
              <w:spacing w:line="360" w:lineRule="auto"/>
              <w:rPr>
                <w:rFonts w:ascii="Times New Roman" w:hAnsi="Times New Roman" w:cs="Times New Roman"/>
                <w:b/>
                <w:sz w:val="24"/>
                <w:szCs w:val="24"/>
              </w:rPr>
            </w:pPr>
          </w:p>
        </w:tc>
        <w:tc>
          <w:tcPr>
            <w:tcW w:w="1134" w:type="dxa"/>
          </w:tcPr>
          <w:p w14:paraId="2D7B797E"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w:t>
            </w:r>
          </w:p>
        </w:tc>
        <w:tc>
          <w:tcPr>
            <w:tcW w:w="1418" w:type="dxa"/>
          </w:tcPr>
          <w:p w14:paraId="74F09A0E"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w:t>
            </w:r>
          </w:p>
        </w:tc>
        <w:tc>
          <w:tcPr>
            <w:tcW w:w="1984" w:type="dxa"/>
          </w:tcPr>
          <w:p w14:paraId="4D530FA2"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6</w:t>
            </w:r>
          </w:p>
        </w:tc>
      </w:tr>
    </w:tbl>
    <w:p w14:paraId="358AE981" w14:textId="77777777" w:rsidR="00133F93" w:rsidRPr="006A3B66" w:rsidRDefault="00133F93" w:rsidP="001659DC">
      <w:pPr>
        <w:spacing w:line="360" w:lineRule="auto"/>
        <w:ind w:firstLine="360"/>
        <w:rPr>
          <w:rFonts w:ascii="Times New Roman" w:hAnsi="Times New Roman"/>
          <w:b/>
          <w:sz w:val="24"/>
        </w:rPr>
      </w:pPr>
    </w:p>
    <w:p w14:paraId="15E4A871" w14:textId="77777777" w:rsidR="00133F93" w:rsidRPr="00E07B7E" w:rsidRDefault="00133F93" w:rsidP="001659DC">
      <w:pPr>
        <w:spacing w:line="360" w:lineRule="auto"/>
        <w:ind w:firstLine="360"/>
        <w:rPr>
          <w:rFonts w:ascii="Times New Roman" w:hAnsi="Times New Roman" w:cs="Times New Roman"/>
          <w:sz w:val="24"/>
          <w:szCs w:val="24"/>
        </w:rPr>
      </w:pPr>
    </w:p>
    <w:p w14:paraId="001EBC5D" w14:textId="77777777" w:rsidR="00133F93" w:rsidRPr="00E07B7E" w:rsidRDefault="00133F93" w:rsidP="001659DC">
      <w:pPr>
        <w:spacing w:line="360" w:lineRule="auto"/>
        <w:ind w:firstLine="360"/>
        <w:jc w:val="center"/>
        <w:rPr>
          <w:rFonts w:ascii="Times New Roman" w:hAnsi="Times New Roman" w:cs="Times New Roman"/>
          <w:b/>
          <w:sz w:val="24"/>
          <w:szCs w:val="24"/>
        </w:rPr>
      </w:pPr>
      <w:r w:rsidRPr="00E07B7E">
        <w:rPr>
          <w:rFonts w:ascii="Times New Roman" w:hAnsi="Times New Roman" w:cs="Times New Roman"/>
          <w:b/>
          <w:sz w:val="24"/>
          <w:szCs w:val="24"/>
        </w:rPr>
        <w:t xml:space="preserve">Table </w:t>
      </w:r>
      <w:r>
        <w:rPr>
          <w:rFonts w:ascii="Times New Roman" w:hAnsi="Times New Roman" w:cs="Times New Roman"/>
          <w:b/>
          <w:sz w:val="24"/>
          <w:szCs w:val="24"/>
        </w:rPr>
        <w:t>2</w:t>
      </w:r>
      <w:r w:rsidRPr="00E07B7E">
        <w:rPr>
          <w:rFonts w:ascii="Times New Roman" w:hAnsi="Times New Roman" w:cs="Times New Roman"/>
          <w:b/>
          <w:sz w:val="24"/>
          <w:szCs w:val="24"/>
        </w:rPr>
        <w:t xml:space="preserve"> </w:t>
      </w:r>
      <w:r>
        <w:rPr>
          <w:rFonts w:ascii="Times New Roman" w:hAnsi="Times New Roman" w:cs="Times New Roman"/>
          <w:b/>
          <w:sz w:val="24"/>
          <w:szCs w:val="24"/>
        </w:rPr>
        <w:t>Duration of</w:t>
      </w:r>
      <w:r w:rsidRPr="00E07B7E">
        <w:rPr>
          <w:rFonts w:ascii="Times New Roman" w:hAnsi="Times New Roman" w:cs="Times New Roman"/>
          <w:b/>
          <w:sz w:val="24"/>
          <w:szCs w:val="24"/>
        </w:rPr>
        <w:t xml:space="preserve"> Claim</w:t>
      </w:r>
      <w:r>
        <w:rPr>
          <w:rFonts w:ascii="Times New Roman" w:hAnsi="Times New Roman" w:cs="Times New Roman"/>
          <w:b/>
          <w:sz w:val="24"/>
          <w:szCs w:val="24"/>
        </w:rPr>
        <w:t>s</w:t>
      </w:r>
    </w:p>
    <w:tbl>
      <w:tblPr>
        <w:tblStyle w:val="TableGrid"/>
        <w:tblW w:w="10386" w:type="dxa"/>
        <w:tblInd w:w="-185" w:type="dxa"/>
        <w:tblLayout w:type="fixed"/>
        <w:tblLook w:val="04A0" w:firstRow="1" w:lastRow="0" w:firstColumn="1" w:lastColumn="0" w:noHBand="0" w:noVBand="1"/>
      </w:tblPr>
      <w:tblGrid>
        <w:gridCol w:w="1314"/>
        <w:gridCol w:w="1476"/>
        <w:gridCol w:w="1359"/>
        <w:gridCol w:w="1276"/>
        <w:gridCol w:w="1115"/>
        <w:gridCol w:w="1590"/>
        <w:gridCol w:w="2256"/>
      </w:tblGrid>
      <w:tr w:rsidR="00133F93" w:rsidRPr="00954441" w14:paraId="77B21DB0" w14:textId="77777777" w:rsidTr="00366E9B">
        <w:tc>
          <w:tcPr>
            <w:tcW w:w="1314" w:type="dxa"/>
          </w:tcPr>
          <w:p w14:paraId="362CEFF0"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Claim Group</w:t>
            </w:r>
          </w:p>
        </w:tc>
        <w:tc>
          <w:tcPr>
            <w:tcW w:w="1476" w:type="dxa"/>
          </w:tcPr>
          <w:p w14:paraId="74FD8DD9"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Human Rights Claims</w:t>
            </w:r>
          </w:p>
        </w:tc>
        <w:tc>
          <w:tcPr>
            <w:tcW w:w="1359" w:type="dxa"/>
          </w:tcPr>
          <w:p w14:paraId="3E37A6E2"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3</w:t>
            </w:r>
          </w:p>
          <w:p w14:paraId="7809F90D"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Claims Settled by Agreement</w:t>
            </w:r>
          </w:p>
        </w:tc>
        <w:tc>
          <w:tcPr>
            <w:tcW w:w="1276" w:type="dxa"/>
          </w:tcPr>
          <w:p w14:paraId="31A45678"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2</w:t>
            </w:r>
          </w:p>
          <w:p w14:paraId="0895FF0E"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No Order in Favor of Claimant</w:t>
            </w:r>
          </w:p>
        </w:tc>
        <w:tc>
          <w:tcPr>
            <w:tcW w:w="4961" w:type="dxa"/>
            <w:gridSpan w:val="3"/>
          </w:tcPr>
          <w:p w14:paraId="7D667E2B"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w:t>
            </w:r>
          </w:p>
          <w:p w14:paraId="60033FC4" w14:textId="77777777" w:rsidR="00133F93" w:rsidRPr="00E07B7E" w:rsidRDefault="00133F93" w:rsidP="001659DC">
            <w:pPr>
              <w:spacing w:line="360" w:lineRule="auto"/>
              <w:rPr>
                <w:rFonts w:ascii="Times New Roman" w:hAnsi="Times New Roman" w:cs="Times New Roman"/>
                <w:sz w:val="24"/>
                <w:szCs w:val="24"/>
              </w:rPr>
            </w:pPr>
            <w:r w:rsidRPr="00E07B7E">
              <w:rPr>
                <w:rFonts w:ascii="Times New Roman" w:hAnsi="Times New Roman" w:cs="Times New Roman"/>
                <w:sz w:val="24"/>
                <w:szCs w:val="24"/>
              </w:rPr>
              <w:t>Order in Favor of Claimant</w:t>
            </w:r>
          </w:p>
        </w:tc>
      </w:tr>
      <w:tr w:rsidR="00133F93" w:rsidRPr="00954441" w14:paraId="590D0C7F" w14:textId="77777777" w:rsidTr="00366E9B">
        <w:trPr>
          <w:trHeight w:val="440"/>
        </w:trPr>
        <w:tc>
          <w:tcPr>
            <w:tcW w:w="1314" w:type="dxa"/>
          </w:tcPr>
          <w:p w14:paraId="0729E0D4"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Number</w:t>
            </w:r>
          </w:p>
        </w:tc>
        <w:tc>
          <w:tcPr>
            <w:tcW w:w="1476" w:type="dxa"/>
          </w:tcPr>
          <w:p w14:paraId="6CA2CA1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w:t>
            </w:r>
            <w:r>
              <w:rPr>
                <w:rFonts w:ascii="Times New Roman" w:hAnsi="Times New Roman" w:cs="Times New Roman"/>
                <w:b/>
                <w:sz w:val="24"/>
                <w:szCs w:val="24"/>
              </w:rPr>
              <w:t>9</w:t>
            </w:r>
          </w:p>
        </w:tc>
        <w:tc>
          <w:tcPr>
            <w:tcW w:w="1359" w:type="dxa"/>
          </w:tcPr>
          <w:p w14:paraId="3C304447"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w:t>
            </w:r>
            <w:r>
              <w:rPr>
                <w:rFonts w:ascii="Times New Roman" w:hAnsi="Times New Roman" w:cs="Times New Roman"/>
                <w:b/>
                <w:sz w:val="24"/>
                <w:szCs w:val="24"/>
              </w:rPr>
              <w:t>11</w:t>
            </w:r>
          </w:p>
        </w:tc>
        <w:tc>
          <w:tcPr>
            <w:tcW w:w="1276" w:type="dxa"/>
          </w:tcPr>
          <w:p w14:paraId="22B822F3"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w:t>
            </w:r>
            <w:r>
              <w:rPr>
                <w:rFonts w:ascii="Times New Roman" w:hAnsi="Times New Roman" w:cs="Times New Roman"/>
                <w:b/>
                <w:sz w:val="24"/>
                <w:szCs w:val="24"/>
              </w:rPr>
              <w:t>8</w:t>
            </w:r>
          </w:p>
        </w:tc>
        <w:tc>
          <w:tcPr>
            <w:tcW w:w="4961" w:type="dxa"/>
            <w:gridSpan w:val="3"/>
          </w:tcPr>
          <w:p w14:paraId="0D217EE0"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10</w:t>
            </w:r>
          </w:p>
        </w:tc>
      </w:tr>
      <w:tr w:rsidR="00133F93" w:rsidRPr="00954441" w14:paraId="65F4BAEE" w14:textId="77777777" w:rsidTr="00366E9B">
        <w:trPr>
          <w:trHeight w:val="440"/>
        </w:trPr>
        <w:tc>
          <w:tcPr>
            <w:tcW w:w="1314" w:type="dxa"/>
          </w:tcPr>
          <w:p w14:paraId="64A55C05"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Mean Length (months)</w:t>
            </w:r>
          </w:p>
        </w:tc>
        <w:tc>
          <w:tcPr>
            <w:tcW w:w="1476" w:type="dxa"/>
          </w:tcPr>
          <w:p w14:paraId="36C81DA2"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2</w:t>
            </w:r>
            <w:r>
              <w:rPr>
                <w:rFonts w:ascii="Times New Roman" w:hAnsi="Times New Roman" w:cs="Times New Roman"/>
                <w:b/>
                <w:sz w:val="24"/>
                <w:szCs w:val="24"/>
              </w:rPr>
              <w:t>2</w:t>
            </w:r>
            <w:r w:rsidRPr="00E07B7E">
              <w:rPr>
                <w:rFonts w:ascii="Times New Roman" w:hAnsi="Times New Roman" w:cs="Times New Roman"/>
                <w:b/>
                <w:sz w:val="24"/>
                <w:szCs w:val="24"/>
              </w:rPr>
              <w:t>.</w:t>
            </w:r>
            <w:r>
              <w:rPr>
                <w:rFonts w:ascii="Times New Roman" w:hAnsi="Times New Roman" w:cs="Times New Roman"/>
                <w:b/>
                <w:sz w:val="24"/>
                <w:szCs w:val="24"/>
              </w:rPr>
              <w:t>4</w:t>
            </w:r>
          </w:p>
        </w:tc>
        <w:tc>
          <w:tcPr>
            <w:tcW w:w="1359" w:type="dxa"/>
          </w:tcPr>
          <w:p w14:paraId="3625A652"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w:t>
            </w:r>
            <w:r>
              <w:rPr>
                <w:rFonts w:ascii="Times New Roman" w:hAnsi="Times New Roman" w:cs="Times New Roman"/>
                <w:b/>
                <w:sz w:val="24"/>
                <w:szCs w:val="24"/>
              </w:rPr>
              <w:t>16.4</w:t>
            </w:r>
          </w:p>
        </w:tc>
        <w:tc>
          <w:tcPr>
            <w:tcW w:w="1276" w:type="dxa"/>
          </w:tcPr>
          <w:p w14:paraId="5D6A62C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17.</w:t>
            </w:r>
            <w:r>
              <w:rPr>
                <w:rFonts w:ascii="Times New Roman" w:hAnsi="Times New Roman" w:cs="Times New Roman"/>
                <w:b/>
                <w:sz w:val="24"/>
                <w:szCs w:val="24"/>
              </w:rPr>
              <w:t>2</w:t>
            </w:r>
          </w:p>
        </w:tc>
        <w:tc>
          <w:tcPr>
            <w:tcW w:w="4961" w:type="dxa"/>
            <w:gridSpan w:val="3"/>
          </w:tcPr>
          <w:p w14:paraId="555CD8C4"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34.3</w:t>
            </w:r>
          </w:p>
        </w:tc>
      </w:tr>
      <w:tr w:rsidR="00133F93" w:rsidRPr="00954441" w14:paraId="3CDB1987" w14:textId="77777777" w:rsidTr="00366E9B">
        <w:trPr>
          <w:trHeight w:val="440"/>
        </w:trPr>
        <w:tc>
          <w:tcPr>
            <w:tcW w:w="1314" w:type="dxa"/>
            <w:tcBorders>
              <w:bottom w:val="single" w:sz="12" w:space="0" w:color="auto"/>
            </w:tcBorders>
          </w:tcPr>
          <w:p w14:paraId="78B43398"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Range</w:t>
            </w:r>
          </w:p>
          <w:p w14:paraId="342C4714"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(months)</w:t>
            </w:r>
          </w:p>
        </w:tc>
        <w:tc>
          <w:tcPr>
            <w:tcW w:w="1476" w:type="dxa"/>
            <w:tcBorders>
              <w:bottom w:val="single" w:sz="12" w:space="0" w:color="auto"/>
            </w:tcBorders>
          </w:tcPr>
          <w:p w14:paraId="21AFA3A8" w14:textId="77777777" w:rsidR="00133F93" w:rsidRPr="00E07B7E" w:rsidRDefault="00133F93" w:rsidP="001659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E07B7E">
              <w:rPr>
                <w:rFonts w:ascii="Times New Roman" w:hAnsi="Times New Roman" w:cs="Times New Roman"/>
                <w:b/>
                <w:sz w:val="24"/>
                <w:szCs w:val="24"/>
              </w:rPr>
              <w:t>3-90</w:t>
            </w:r>
          </w:p>
        </w:tc>
        <w:tc>
          <w:tcPr>
            <w:tcW w:w="1359" w:type="dxa"/>
            <w:tcBorders>
              <w:bottom w:val="single" w:sz="12" w:space="0" w:color="auto"/>
            </w:tcBorders>
          </w:tcPr>
          <w:p w14:paraId="6A263241"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4-66</w:t>
            </w:r>
          </w:p>
        </w:tc>
        <w:tc>
          <w:tcPr>
            <w:tcW w:w="1276" w:type="dxa"/>
            <w:tcBorders>
              <w:bottom w:val="single" w:sz="12" w:space="0" w:color="auto"/>
            </w:tcBorders>
          </w:tcPr>
          <w:p w14:paraId="5662D9B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3-68</w:t>
            </w:r>
          </w:p>
        </w:tc>
        <w:tc>
          <w:tcPr>
            <w:tcW w:w="4961" w:type="dxa"/>
            <w:gridSpan w:val="3"/>
          </w:tcPr>
          <w:p w14:paraId="2947A6E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6-90</w:t>
            </w:r>
          </w:p>
        </w:tc>
      </w:tr>
      <w:tr w:rsidR="00133F93" w:rsidRPr="00954441" w14:paraId="6DB9E747" w14:textId="77777777" w:rsidTr="00366E9B">
        <w:trPr>
          <w:trHeight w:val="989"/>
        </w:trPr>
        <w:tc>
          <w:tcPr>
            <w:tcW w:w="1314" w:type="dxa"/>
            <w:tcBorders>
              <w:top w:val="single" w:sz="12" w:space="0" w:color="auto"/>
            </w:tcBorders>
          </w:tcPr>
          <w:p w14:paraId="3C6F2490"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lastRenderedPageBreak/>
              <w:t>Subgroup</w:t>
            </w:r>
          </w:p>
        </w:tc>
        <w:tc>
          <w:tcPr>
            <w:tcW w:w="4111" w:type="dxa"/>
            <w:gridSpan w:val="3"/>
          </w:tcPr>
          <w:p w14:paraId="0EDA7DF5" w14:textId="77777777" w:rsidR="00133F93" w:rsidRPr="00E07B7E" w:rsidRDefault="00133F93" w:rsidP="001659DC">
            <w:pPr>
              <w:spacing w:line="360" w:lineRule="auto"/>
              <w:rPr>
                <w:rFonts w:ascii="Times New Roman" w:hAnsi="Times New Roman" w:cs="Times New Roman"/>
                <w:b/>
                <w:sz w:val="24"/>
                <w:szCs w:val="24"/>
              </w:rPr>
            </w:pPr>
          </w:p>
        </w:tc>
        <w:tc>
          <w:tcPr>
            <w:tcW w:w="1115" w:type="dxa"/>
            <w:tcBorders>
              <w:top w:val="single" w:sz="12" w:space="0" w:color="auto"/>
            </w:tcBorders>
          </w:tcPr>
          <w:p w14:paraId="6F1EEB14"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1A</w:t>
            </w:r>
          </w:p>
          <w:p w14:paraId="102D5E9F"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Remedy Provided</w:t>
            </w:r>
          </w:p>
        </w:tc>
        <w:tc>
          <w:tcPr>
            <w:tcW w:w="1590" w:type="dxa"/>
            <w:tcBorders>
              <w:top w:val="single" w:sz="12" w:space="0" w:color="auto"/>
            </w:tcBorders>
          </w:tcPr>
          <w:p w14:paraId="3793B315"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1B</w:t>
            </w:r>
          </w:p>
          <w:p w14:paraId="384A04BF"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Remedy Not Yet Provided</w:t>
            </w:r>
          </w:p>
        </w:tc>
        <w:tc>
          <w:tcPr>
            <w:tcW w:w="2256" w:type="dxa"/>
            <w:tcBorders>
              <w:top w:val="single" w:sz="12" w:space="0" w:color="auto"/>
            </w:tcBorders>
          </w:tcPr>
          <w:p w14:paraId="0AA4DE3E"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Group 1C</w:t>
            </w:r>
          </w:p>
          <w:p w14:paraId="71EEB59B" w14:textId="77777777" w:rsidR="00133F93" w:rsidRPr="00E07B7E" w:rsidRDefault="00133F93" w:rsidP="001659DC">
            <w:pPr>
              <w:spacing w:line="360" w:lineRule="auto"/>
              <w:rPr>
                <w:rFonts w:ascii="Times New Roman" w:hAnsi="Times New Roman" w:cs="Times New Roman"/>
                <w:bCs/>
                <w:sz w:val="24"/>
                <w:szCs w:val="24"/>
              </w:rPr>
            </w:pPr>
            <w:r w:rsidRPr="00E07B7E">
              <w:rPr>
                <w:rFonts w:ascii="Times New Roman" w:hAnsi="Times New Roman" w:cs="Times New Roman"/>
                <w:bCs/>
                <w:sz w:val="24"/>
                <w:szCs w:val="24"/>
              </w:rPr>
              <w:t>Respondent Leaves RSPO-No Remedy</w:t>
            </w:r>
          </w:p>
        </w:tc>
      </w:tr>
      <w:tr w:rsidR="00133F93" w:rsidRPr="00954441" w14:paraId="0D8A78C4" w14:textId="77777777" w:rsidTr="00366E9B">
        <w:trPr>
          <w:trHeight w:val="431"/>
        </w:trPr>
        <w:tc>
          <w:tcPr>
            <w:tcW w:w="1314" w:type="dxa"/>
          </w:tcPr>
          <w:p w14:paraId="0FEA8542"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Number</w:t>
            </w:r>
          </w:p>
        </w:tc>
        <w:tc>
          <w:tcPr>
            <w:tcW w:w="4111" w:type="dxa"/>
            <w:gridSpan w:val="3"/>
          </w:tcPr>
          <w:p w14:paraId="3306EF32" w14:textId="77777777" w:rsidR="00133F93" w:rsidRPr="00E07B7E" w:rsidRDefault="00133F93" w:rsidP="001659DC">
            <w:pPr>
              <w:spacing w:line="360" w:lineRule="auto"/>
              <w:rPr>
                <w:rFonts w:ascii="Times New Roman" w:hAnsi="Times New Roman" w:cs="Times New Roman"/>
                <w:b/>
                <w:sz w:val="24"/>
                <w:szCs w:val="24"/>
              </w:rPr>
            </w:pPr>
          </w:p>
        </w:tc>
        <w:tc>
          <w:tcPr>
            <w:tcW w:w="1115" w:type="dxa"/>
          </w:tcPr>
          <w:p w14:paraId="2C13302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1</w:t>
            </w:r>
          </w:p>
        </w:tc>
        <w:tc>
          <w:tcPr>
            <w:tcW w:w="1590" w:type="dxa"/>
          </w:tcPr>
          <w:p w14:paraId="772BEE1C"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w:t>
            </w:r>
          </w:p>
        </w:tc>
        <w:tc>
          <w:tcPr>
            <w:tcW w:w="2256" w:type="dxa"/>
          </w:tcPr>
          <w:p w14:paraId="6B5A981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6</w:t>
            </w:r>
          </w:p>
        </w:tc>
      </w:tr>
      <w:tr w:rsidR="00133F93" w:rsidRPr="00954441" w14:paraId="509BCC2F" w14:textId="77777777" w:rsidTr="00366E9B">
        <w:trPr>
          <w:trHeight w:val="431"/>
        </w:trPr>
        <w:tc>
          <w:tcPr>
            <w:tcW w:w="1314" w:type="dxa"/>
          </w:tcPr>
          <w:p w14:paraId="14479DCB"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Mean Length (months)</w:t>
            </w:r>
          </w:p>
        </w:tc>
        <w:tc>
          <w:tcPr>
            <w:tcW w:w="4111" w:type="dxa"/>
            <w:gridSpan w:val="3"/>
          </w:tcPr>
          <w:p w14:paraId="1A7D3D21" w14:textId="77777777" w:rsidR="00133F93" w:rsidRPr="00E07B7E" w:rsidRDefault="00133F93" w:rsidP="001659DC">
            <w:pPr>
              <w:spacing w:line="360" w:lineRule="auto"/>
              <w:rPr>
                <w:rFonts w:ascii="Times New Roman" w:hAnsi="Times New Roman" w:cs="Times New Roman"/>
                <w:b/>
                <w:sz w:val="24"/>
                <w:szCs w:val="24"/>
              </w:rPr>
            </w:pPr>
          </w:p>
        </w:tc>
        <w:tc>
          <w:tcPr>
            <w:tcW w:w="1115" w:type="dxa"/>
          </w:tcPr>
          <w:p w14:paraId="519EE04C"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37</w:t>
            </w:r>
          </w:p>
        </w:tc>
        <w:tc>
          <w:tcPr>
            <w:tcW w:w="1590" w:type="dxa"/>
          </w:tcPr>
          <w:p w14:paraId="570F9E1F"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59</w:t>
            </w:r>
          </w:p>
        </w:tc>
        <w:tc>
          <w:tcPr>
            <w:tcW w:w="2256" w:type="dxa"/>
          </w:tcPr>
          <w:p w14:paraId="0D31F54A"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21.5</w:t>
            </w:r>
          </w:p>
        </w:tc>
      </w:tr>
      <w:tr w:rsidR="00133F93" w:rsidRPr="00954441" w14:paraId="2E25AE1C" w14:textId="77777777" w:rsidTr="00366E9B">
        <w:trPr>
          <w:trHeight w:val="431"/>
        </w:trPr>
        <w:tc>
          <w:tcPr>
            <w:tcW w:w="1314" w:type="dxa"/>
          </w:tcPr>
          <w:p w14:paraId="03F4F8A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Range</w:t>
            </w:r>
          </w:p>
          <w:p w14:paraId="67F4B0E7"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(months)</w:t>
            </w:r>
          </w:p>
        </w:tc>
        <w:tc>
          <w:tcPr>
            <w:tcW w:w="4111" w:type="dxa"/>
            <w:gridSpan w:val="3"/>
          </w:tcPr>
          <w:p w14:paraId="313386A1" w14:textId="77777777" w:rsidR="00133F93" w:rsidRPr="00E07B7E" w:rsidRDefault="00133F93" w:rsidP="001659DC">
            <w:pPr>
              <w:spacing w:line="360" w:lineRule="auto"/>
              <w:rPr>
                <w:rFonts w:ascii="Times New Roman" w:hAnsi="Times New Roman" w:cs="Times New Roman"/>
                <w:b/>
                <w:sz w:val="24"/>
                <w:szCs w:val="24"/>
              </w:rPr>
            </w:pPr>
          </w:p>
        </w:tc>
        <w:tc>
          <w:tcPr>
            <w:tcW w:w="1115" w:type="dxa"/>
          </w:tcPr>
          <w:p w14:paraId="20C099DE"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37</w:t>
            </w:r>
          </w:p>
        </w:tc>
        <w:tc>
          <w:tcPr>
            <w:tcW w:w="1590" w:type="dxa"/>
          </w:tcPr>
          <w:p w14:paraId="17DBA926"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39-90</w:t>
            </w:r>
          </w:p>
        </w:tc>
        <w:tc>
          <w:tcPr>
            <w:tcW w:w="2256" w:type="dxa"/>
          </w:tcPr>
          <w:p w14:paraId="60F4E5ED" w14:textId="77777777" w:rsidR="00133F93" w:rsidRPr="00E07B7E" w:rsidRDefault="00133F93" w:rsidP="001659DC">
            <w:pPr>
              <w:spacing w:line="360" w:lineRule="auto"/>
              <w:rPr>
                <w:rFonts w:ascii="Times New Roman" w:hAnsi="Times New Roman" w:cs="Times New Roman"/>
                <w:b/>
                <w:sz w:val="24"/>
                <w:szCs w:val="24"/>
              </w:rPr>
            </w:pPr>
            <w:r w:rsidRPr="00E07B7E">
              <w:rPr>
                <w:rFonts w:ascii="Times New Roman" w:hAnsi="Times New Roman" w:cs="Times New Roman"/>
                <w:b/>
                <w:sz w:val="24"/>
                <w:szCs w:val="24"/>
              </w:rPr>
              <w:t xml:space="preserve">            6-42</w:t>
            </w:r>
          </w:p>
        </w:tc>
      </w:tr>
    </w:tbl>
    <w:p w14:paraId="7695290F" w14:textId="77777777" w:rsidR="00133F93" w:rsidRPr="00E07B7E" w:rsidRDefault="00133F93" w:rsidP="001659DC">
      <w:pPr>
        <w:spacing w:line="360" w:lineRule="auto"/>
        <w:ind w:firstLine="360"/>
        <w:rPr>
          <w:rFonts w:ascii="Times New Roman" w:hAnsi="Times New Roman" w:cs="Times New Roman"/>
          <w:sz w:val="24"/>
          <w:szCs w:val="24"/>
        </w:rPr>
      </w:pPr>
    </w:p>
    <w:p w14:paraId="61A958FF" w14:textId="77777777" w:rsidR="0001596E" w:rsidRPr="00E07B7E" w:rsidRDefault="0001596E" w:rsidP="001659DC">
      <w:pPr>
        <w:spacing w:line="360" w:lineRule="auto"/>
        <w:rPr>
          <w:rFonts w:ascii="Times New Roman" w:hAnsi="Times New Roman" w:cs="Times New Roman"/>
          <w:sz w:val="24"/>
          <w:szCs w:val="24"/>
        </w:rPr>
      </w:pPr>
    </w:p>
    <w:sectPr w:rsidR="0001596E" w:rsidRPr="00E07B7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AB51" w14:textId="77777777" w:rsidR="002D5030" w:rsidRDefault="002D5030" w:rsidP="00DF6A59">
      <w:pPr>
        <w:spacing w:after="0" w:line="240" w:lineRule="auto"/>
      </w:pPr>
      <w:r>
        <w:separator/>
      </w:r>
    </w:p>
  </w:endnote>
  <w:endnote w:type="continuationSeparator" w:id="0">
    <w:p w14:paraId="6B6EFA79" w14:textId="77777777" w:rsidR="002D5030" w:rsidRDefault="002D5030" w:rsidP="00DF6A59">
      <w:pPr>
        <w:spacing w:after="0" w:line="240" w:lineRule="auto"/>
      </w:pPr>
      <w:r>
        <w:continuationSeparator/>
      </w:r>
    </w:p>
  </w:endnote>
  <w:endnote w:type="continuationNotice" w:id="1">
    <w:p w14:paraId="60F213C9" w14:textId="77777777" w:rsidR="002D5030" w:rsidRDefault="002D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7090" w14:textId="77777777" w:rsidR="00F26A50" w:rsidRDefault="00F2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66316"/>
      <w:docPartObj>
        <w:docPartGallery w:val="Page Numbers (Bottom of Page)"/>
        <w:docPartUnique/>
      </w:docPartObj>
    </w:sdtPr>
    <w:sdtEndPr>
      <w:rPr>
        <w:noProof/>
      </w:rPr>
    </w:sdtEndPr>
    <w:sdtContent>
      <w:p w14:paraId="3113C5A9" w14:textId="2B0F59A4" w:rsidR="00786C6E" w:rsidRDefault="00786C6E">
        <w:pPr>
          <w:pStyle w:val="Footer"/>
          <w:jc w:val="center"/>
        </w:pPr>
        <w:r>
          <w:fldChar w:fldCharType="begin"/>
        </w:r>
        <w:r>
          <w:instrText xml:space="preserve"> PAGE   \* MERGEFORMAT </w:instrText>
        </w:r>
        <w:r>
          <w:fldChar w:fldCharType="separate"/>
        </w:r>
        <w:r w:rsidR="009A2B6D">
          <w:rPr>
            <w:noProof/>
          </w:rPr>
          <w:t>2</w:t>
        </w:r>
        <w:r>
          <w:rPr>
            <w:noProof/>
          </w:rPr>
          <w:fldChar w:fldCharType="end"/>
        </w:r>
      </w:p>
    </w:sdtContent>
  </w:sdt>
  <w:p w14:paraId="384D268A" w14:textId="77777777" w:rsidR="00786C6E" w:rsidRDefault="00786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55C2" w14:textId="77777777" w:rsidR="00F26A50" w:rsidRDefault="00F2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FF08" w14:textId="77777777" w:rsidR="002D5030" w:rsidRDefault="002D5030" w:rsidP="00DF6A59">
      <w:pPr>
        <w:spacing w:after="0" w:line="240" w:lineRule="auto"/>
      </w:pPr>
      <w:r>
        <w:separator/>
      </w:r>
    </w:p>
  </w:footnote>
  <w:footnote w:type="continuationSeparator" w:id="0">
    <w:p w14:paraId="4C63B581" w14:textId="77777777" w:rsidR="002D5030" w:rsidRDefault="002D5030" w:rsidP="00DF6A59">
      <w:pPr>
        <w:spacing w:after="0" w:line="240" w:lineRule="auto"/>
      </w:pPr>
      <w:r>
        <w:continuationSeparator/>
      </w:r>
    </w:p>
  </w:footnote>
  <w:footnote w:type="continuationNotice" w:id="1">
    <w:p w14:paraId="5DC4C780" w14:textId="77777777" w:rsidR="002D5030" w:rsidRDefault="002D5030">
      <w:pPr>
        <w:spacing w:after="0" w:line="240" w:lineRule="auto"/>
      </w:pPr>
    </w:p>
  </w:footnote>
  <w:footnote w:id="2">
    <w:p w14:paraId="5BBF383B" w14:textId="6F949C99" w:rsidR="00786C6E" w:rsidRPr="00EE31F2" w:rsidRDefault="00786C6E" w:rsidP="001659DC">
      <w:pPr>
        <w:pStyle w:val="FootnoteText"/>
        <w:spacing w:line="360" w:lineRule="auto"/>
        <w:rPr>
          <w:rFonts w:ascii="Times New Roman" w:hAnsi="Times New Roman" w:cs="Times New Roman"/>
          <w:bCs/>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bCs/>
          <w:lang w:val="en-GB"/>
        </w:rPr>
        <w:t xml:space="preserve">Dinah Shelton, </w:t>
      </w:r>
      <w:r w:rsidRPr="00EE31F2">
        <w:rPr>
          <w:rFonts w:ascii="Times New Roman" w:hAnsi="Times New Roman" w:cs="Times New Roman"/>
          <w:bCs/>
          <w:i/>
          <w:lang w:val="en-GB"/>
        </w:rPr>
        <w:t>Remedies in International Human Rights Law</w:t>
      </w:r>
      <w:r w:rsidRPr="00EE31F2">
        <w:rPr>
          <w:rFonts w:ascii="Times New Roman" w:hAnsi="Times New Roman" w:cs="Times New Roman"/>
          <w:bCs/>
          <w:lang w:val="en-GB"/>
        </w:rPr>
        <w:t xml:space="preserve"> (OUP, 2006). </w:t>
      </w:r>
    </w:p>
  </w:footnote>
  <w:footnote w:id="3">
    <w:p w14:paraId="67E74BC5" w14:textId="05C154C6"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Human Rights Council</w:t>
      </w:r>
      <w:r w:rsidRPr="00EE31F2">
        <w:rPr>
          <w:rFonts w:ascii="Times New Roman" w:hAnsi="Times New Roman" w:cs="Times New Roman"/>
          <w:lang w:val="en-GB"/>
        </w:rPr>
        <w:t xml:space="preserve">, </w:t>
      </w:r>
      <w:r>
        <w:rPr>
          <w:rFonts w:ascii="Times New Roman" w:hAnsi="Times New Roman" w:cs="Times New Roman"/>
          <w:lang w:val="en-GB"/>
        </w:rPr>
        <w:t>‘</w:t>
      </w:r>
      <w:r w:rsidRPr="00EE31F2">
        <w:rPr>
          <w:rFonts w:ascii="Times New Roman" w:hAnsi="Times New Roman" w:cs="Times New Roman"/>
          <w:lang w:val="en-GB"/>
        </w:rPr>
        <w:t>Protect, respect and remedy: A framework for business and human rights</w:t>
      </w:r>
      <w:r>
        <w:rPr>
          <w:rFonts w:ascii="Times New Roman" w:hAnsi="Times New Roman" w:cs="Times New Roman"/>
          <w:lang w:val="en-GB"/>
        </w:rPr>
        <w:t>’</w:t>
      </w:r>
      <w:r w:rsidRPr="00EE31F2">
        <w:rPr>
          <w:rFonts w:ascii="Times New Roman" w:hAnsi="Times New Roman" w:cs="Times New Roman"/>
          <w:lang w:val="en-GB"/>
        </w:rPr>
        <w:t xml:space="preserve"> A/HRC/8/5</w:t>
      </w:r>
      <w:r>
        <w:rPr>
          <w:rFonts w:ascii="Times New Roman" w:hAnsi="Times New Roman" w:cs="Times New Roman"/>
          <w:lang w:val="en-GB"/>
        </w:rPr>
        <w:t xml:space="preserve"> (7 April 2008)</w:t>
      </w:r>
    </w:p>
  </w:footnote>
  <w:footnote w:id="4">
    <w:p w14:paraId="0A438E43" w14:textId="2F10C277"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AC1C3B">
        <w:rPr>
          <w:rFonts w:ascii="Times New Roman" w:hAnsi="Times New Roman" w:cs="Times New Roman"/>
          <w:bCs/>
        </w:rPr>
        <w:t>Human Rights Council</w:t>
      </w:r>
      <w:r w:rsidRPr="00EE31F2">
        <w:rPr>
          <w:rFonts w:ascii="Times New Roman" w:hAnsi="Times New Roman" w:cs="Times New Roman"/>
          <w:bCs/>
        </w:rPr>
        <w:t xml:space="preserve">, </w:t>
      </w:r>
      <w:r w:rsidRPr="00EE31F2">
        <w:rPr>
          <w:rFonts w:ascii="Times New Roman" w:hAnsi="Times New Roman" w:cs="Times New Roman"/>
          <w:bCs/>
          <w:i/>
        </w:rPr>
        <w:t xml:space="preserve">United Nations Guiding Principles on Business and Human Rights: Implementing the United Nations “Protect, Respect and Remedy” Framework </w:t>
      </w:r>
      <w:r>
        <w:rPr>
          <w:rFonts w:ascii="Times New Roman" w:hAnsi="Times New Roman" w:cs="Times New Roman"/>
          <w:bCs/>
        </w:rPr>
        <w:t>A/HRC/17/31 (21 March 2011),</w:t>
      </w:r>
      <w:r w:rsidRPr="00AC1C3B">
        <w:rPr>
          <w:rFonts w:ascii="Times New Roman" w:hAnsi="Times New Roman" w:cs="Times New Roman"/>
          <w:bCs/>
        </w:rPr>
        <w:t xml:space="preserve"> </w:t>
      </w:r>
      <w:r w:rsidRPr="00EE31F2">
        <w:rPr>
          <w:rFonts w:ascii="Times New Roman" w:hAnsi="Times New Roman" w:cs="Times New Roman"/>
          <w:bCs/>
        </w:rPr>
        <w:t>Principles 29, 30 and 31.</w:t>
      </w:r>
      <w:r w:rsidRPr="00EE31F2">
        <w:rPr>
          <w:rFonts w:ascii="Times New Roman" w:hAnsi="Times New Roman" w:cs="Times New Roman"/>
        </w:rPr>
        <w:t xml:space="preserve"> </w:t>
      </w:r>
    </w:p>
  </w:footnote>
  <w:footnote w:id="5">
    <w:p w14:paraId="607DEC09" w14:textId="5A21097B"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Ibid, Principle 26.</w:t>
      </w:r>
      <w:r w:rsidRPr="00EE31F2" w:rsidDel="008726CA">
        <w:rPr>
          <w:rFonts w:ascii="Times New Roman" w:hAnsi="Times New Roman" w:cs="Times New Roman"/>
          <w:lang w:val="en-GB"/>
        </w:rPr>
        <w:t xml:space="preserve"> </w:t>
      </w:r>
    </w:p>
  </w:footnote>
  <w:footnote w:id="6">
    <w:p w14:paraId="5AB65DE5" w14:textId="537FBA2A"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See a synopsis of this debate in Haines, Fiona, and Kate Macdonald. ‘Nonjudicial business regulation and community access to remedy’ (20</w:t>
      </w:r>
      <w:r>
        <w:rPr>
          <w:rFonts w:ascii="Times New Roman" w:hAnsi="Times New Roman" w:cs="Times New Roman"/>
        </w:rPr>
        <w:t>20</w:t>
      </w:r>
      <w:r w:rsidRPr="00EE31F2">
        <w:rPr>
          <w:rFonts w:ascii="Times New Roman" w:hAnsi="Times New Roman" w:cs="Times New Roman"/>
        </w:rPr>
        <w:t xml:space="preserve">) </w:t>
      </w:r>
      <w:r>
        <w:rPr>
          <w:rFonts w:ascii="Times New Roman" w:hAnsi="Times New Roman" w:cs="Times New Roman"/>
        </w:rPr>
        <w:t xml:space="preserve">14 </w:t>
      </w:r>
      <w:r w:rsidRPr="00EE31F2">
        <w:rPr>
          <w:rFonts w:ascii="Times New Roman" w:hAnsi="Times New Roman" w:cs="Times New Roman"/>
          <w:i/>
          <w:iCs/>
        </w:rPr>
        <w:t>Regulation &amp; Governance</w:t>
      </w:r>
      <w:r>
        <w:rPr>
          <w:rFonts w:ascii="Times New Roman" w:hAnsi="Times New Roman" w:cs="Times New Roman"/>
        </w:rPr>
        <w:t xml:space="preserve">, 840. </w:t>
      </w:r>
      <w:r w:rsidRPr="00EE31F2">
        <w:rPr>
          <w:rFonts w:ascii="Times New Roman" w:hAnsi="Times New Roman" w:cs="Times New Roman"/>
        </w:rPr>
        <w:t xml:space="preserve">   </w:t>
      </w:r>
    </w:p>
  </w:footnote>
  <w:footnote w:id="7">
    <w:p w14:paraId="42DFAD21" w14:textId="1EDFA4BD"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United Nations Office of the High Commissioner for Human Rights, ‘Accountability and Remedy Project Part III: Non-State-based grievance mechanisms: Enhancing effectiveness of non-State-based grievance mechanisms in cases of business-related human rights abuse’ (19 November 2019), </w:t>
      </w:r>
      <w:hyperlink r:id="rId1" w:history="1">
        <w:r w:rsidRPr="00EE31F2">
          <w:rPr>
            <w:rStyle w:val="Hyperlink"/>
            <w:rFonts w:ascii="Times New Roman" w:hAnsi="Times New Roman" w:cs="Times New Roman"/>
          </w:rPr>
          <w:t>https://www.ohchr.org/Documents/Issues/Business/ARP/ARPIII_Discussion_Paper_Nov2019.pdf</w:t>
        </w:r>
      </w:hyperlink>
      <w:r w:rsidRPr="00EE31F2">
        <w:rPr>
          <w:rFonts w:ascii="Times New Roman" w:hAnsi="Times New Roman" w:cs="Times New Roman"/>
        </w:rPr>
        <w:t xml:space="preserve"> (accessed 18 March 2020). </w:t>
      </w:r>
    </w:p>
  </w:footnote>
  <w:footnote w:id="8">
    <w:p w14:paraId="20539BE5" w14:textId="6487F9D3"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Surya Deva et al. ‘Business and Human Rights Scholarship: Past Trends and Future Directions’ (2019) 4:2 </w:t>
      </w:r>
      <w:r w:rsidRPr="00EE31F2">
        <w:rPr>
          <w:rFonts w:ascii="Times New Roman" w:hAnsi="Times New Roman" w:cs="Times New Roman"/>
          <w:i/>
          <w:iCs/>
        </w:rPr>
        <w:t>Business and Human Rights Journal</w:t>
      </w:r>
      <w:r w:rsidRPr="00EE31F2">
        <w:rPr>
          <w:rFonts w:ascii="Times New Roman" w:hAnsi="Times New Roman" w:cs="Times New Roman"/>
        </w:rPr>
        <w:t>, 201, 202.</w:t>
      </w:r>
    </w:p>
  </w:footnote>
  <w:footnote w:id="9">
    <w:p w14:paraId="5154B957" w14:textId="36103A36" w:rsidR="00786C6E" w:rsidRDefault="00786C6E" w:rsidP="001659DC">
      <w:pPr>
        <w:pStyle w:val="FootnoteText"/>
        <w:spacing w:line="360" w:lineRule="auto"/>
      </w:pPr>
      <w:r>
        <w:rPr>
          <w:rStyle w:val="FootnoteReference"/>
        </w:rPr>
        <w:footnoteRef/>
      </w:r>
      <w:r>
        <w:t xml:space="preserve"> Diane </w:t>
      </w:r>
      <w:proofErr w:type="gramStart"/>
      <w:r>
        <w:t>Shelton,  e.g.</w:t>
      </w:r>
      <w:proofErr w:type="gramEnd"/>
      <w:r>
        <w:t xml:space="preserve"> Universal Declaration of Human Rights (art. 8); International Covenant on Civil and Political Rights (art. 2). </w:t>
      </w:r>
    </w:p>
  </w:footnote>
  <w:footnote w:id="10">
    <w:p w14:paraId="3A572628" w14:textId="77777777" w:rsidR="00786C6E" w:rsidRDefault="00786C6E" w:rsidP="001659DC">
      <w:pPr>
        <w:pStyle w:val="FootnoteText"/>
        <w:spacing w:line="360" w:lineRule="auto"/>
      </w:pPr>
      <w:r>
        <w:rPr>
          <w:rStyle w:val="FootnoteReference"/>
        </w:rPr>
        <w:footnoteRef/>
      </w:r>
      <w:r>
        <w:t xml:space="preserve"> United Nations Guiding Principles on Business and Human Rights. Principles 26, 27.</w:t>
      </w:r>
    </w:p>
  </w:footnote>
  <w:footnote w:id="11">
    <w:p w14:paraId="3C5FA76B" w14:textId="77777777" w:rsidR="00786C6E" w:rsidRPr="00792C8E" w:rsidRDefault="00786C6E" w:rsidP="001659DC">
      <w:pPr>
        <w:pStyle w:val="FootnoteText"/>
        <w:spacing w:line="360" w:lineRule="auto"/>
      </w:pPr>
      <w:r>
        <w:rPr>
          <w:rStyle w:val="FootnoteReference"/>
        </w:rPr>
        <w:footnoteRef/>
      </w:r>
      <w:r>
        <w:t xml:space="preserve"> Yousuf Aftab, Audrey </w:t>
      </w:r>
      <w:proofErr w:type="spellStart"/>
      <w:r>
        <w:t>Mocle</w:t>
      </w:r>
      <w:proofErr w:type="spellEnd"/>
      <w:r>
        <w:t xml:space="preserve">, </w:t>
      </w:r>
      <w:r w:rsidRPr="001659DC">
        <w:rPr>
          <w:i/>
          <w:iCs/>
        </w:rPr>
        <w:t>Business and Human Rights as Law: Towards Justiciability of Rights, Involvement, and Remedy</w:t>
      </w:r>
      <w:r>
        <w:t xml:space="preserve">, LexisNexis Canada Inc. 2019. Chapter 2-Legal Risk. Surya Deva, David </w:t>
      </w:r>
      <w:proofErr w:type="spellStart"/>
      <w:r>
        <w:t>Bilchitz</w:t>
      </w:r>
      <w:proofErr w:type="spellEnd"/>
      <w:r>
        <w:t xml:space="preserve">, Human Rights Obligations of Business: Beyond the Corporate Responsibility to </w:t>
      </w:r>
      <w:proofErr w:type="gramStart"/>
      <w:r>
        <w:t>Respect?,</w:t>
      </w:r>
      <w:proofErr w:type="gramEnd"/>
      <w:r>
        <w:t xml:space="preserve"> Cambridge. 2013. </w:t>
      </w:r>
      <w:r w:rsidRPr="00792C8E">
        <w:t>[Chapter 14]</w:t>
      </w:r>
    </w:p>
  </w:footnote>
  <w:footnote w:id="12">
    <w:p w14:paraId="2A510DF2" w14:textId="495EB52C" w:rsidR="00ED5218" w:rsidRPr="001659DC" w:rsidRDefault="00ED5218">
      <w:pPr>
        <w:pStyle w:val="FootnoteText"/>
        <w:rPr>
          <w:lang w:val="en-GB"/>
        </w:rPr>
      </w:pPr>
      <w:r>
        <w:rPr>
          <w:rStyle w:val="FootnoteReference"/>
        </w:rPr>
        <w:footnoteRef/>
      </w:r>
      <w:r>
        <w:t xml:space="preserve"> </w:t>
      </w:r>
      <w:r w:rsidR="009A2B6D">
        <w:t>E.g. SOMO, ‘</w:t>
      </w:r>
      <w:r w:rsidR="0048715A">
        <w:t>The Patchwork of Non-Judicial Grievance Mechan</w:t>
      </w:r>
      <w:r w:rsidR="009A2B6D">
        <w:t>is</w:t>
      </w:r>
      <w:r w:rsidR="0048715A">
        <w:t>ms</w:t>
      </w:r>
      <w:r w:rsidR="00044190">
        <w:t>: Addressing the Limitations of the Current Landscape</w:t>
      </w:r>
      <w:r w:rsidR="009A2B6D">
        <w:t>’</w:t>
      </w:r>
      <w:r w:rsidR="00044190">
        <w:t xml:space="preserve">, </w:t>
      </w:r>
      <w:r w:rsidR="00044190" w:rsidRPr="001659DC">
        <w:rPr>
          <w:i/>
        </w:rPr>
        <w:t>SOMO Briefing Note</w:t>
      </w:r>
      <w:r w:rsidR="009A2B6D">
        <w:t xml:space="preserve"> (</w:t>
      </w:r>
      <w:r w:rsidR="00044190">
        <w:t>January 2015</w:t>
      </w:r>
      <w:r w:rsidR="009A2B6D">
        <w:t>)</w:t>
      </w:r>
      <w:r w:rsidR="00C0416A">
        <w:t xml:space="preserve">  </w:t>
      </w:r>
      <w:hyperlink r:id="rId2" w:history="1">
        <w:r w:rsidR="00C0416A" w:rsidRPr="00B5319D">
          <w:rPr>
            <w:rStyle w:val="Hyperlink"/>
          </w:rPr>
          <w:t>https://www.somo.nl/the-patchwork-of-non-judicial-grievance-mechanisms/#:~:text=The%20Patchwork%20of%20Non-Judicial%20Grievance%20Mechanisms%20Addressing%20the,their%20limitations%2C%20and%20provide%20recommendations%20for%20improving%20them</w:t>
        </w:r>
      </w:hyperlink>
      <w:r w:rsidR="00C0416A" w:rsidRPr="00C0416A">
        <w:t>.</w:t>
      </w:r>
      <w:r w:rsidR="00C0416A">
        <w:t xml:space="preserve"> </w:t>
      </w:r>
      <w:r w:rsidR="00044190">
        <w:t xml:space="preserve"> </w:t>
      </w:r>
    </w:p>
  </w:footnote>
  <w:footnote w:id="13">
    <w:p w14:paraId="3CA69A60" w14:textId="0FB8069E" w:rsidR="00786C6E" w:rsidRPr="00305B99" w:rsidRDefault="00786C6E" w:rsidP="001659DC">
      <w:pPr>
        <w:pStyle w:val="FootnoteText"/>
        <w:spacing w:line="360" w:lineRule="auto"/>
      </w:pPr>
      <w:r>
        <w:rPr>
          <w:rStyle w:val="FootnoteReference"/>
        </w:rPr>
        <w:footnoteRef/>
      </w:r>
      <w:r w:rsidR="009A2B6D">
        <w:t xml:space="preserve"> E.g. Surya Deva, </w:t>
      </w:r>
      <w:r w:rsidR="009A2B6D" w:rsidRPr="006B1D29">
        <w:rPr>
          <w:i/>
          <w:iCs/>
        </w:rPr>
        <w:t>Regulating Corporate Human Rights Abuses: Humanizing Business</w:t>
      </w:r>
      <w:r w:rsidR="009A2B6D">
        <w:t>. Routledge 2012 pointing out the inadequacies of existing regimes and proposing an integrated theory of regulation to overcome those inadequacies.;</w:t>
      </w:r>
      <w:r>
        <w:t xml:space="preserve"> Karin Lukas </w:t>
      </w:r>
      <w:r w:rsidRPr="001659DC">
        <w:rPr>
          <w:i/>
          <w:iCs/>
        </w:rPr>
        <w:t>et al</w:t>
      </w:r>
      <w:r>
        <w:t xml:space="preserve">. </w:t>
      </w:r>
      <w:r w:rsidRPr="001659DC">
        <w:rPr>
          <w:i/>
          <w:iCs/>
        </w:rPr>
        <w:t>Corporate Accountability: The Role and Impact of Non-Judicial Grievance Mechanisms</w:t>
      </w:r>
      <w:r>
        <w:t xml:space="preserve">, Edward Elgar, 2016. which analyzes both non-judicial governmental systems and non-governmental systems and judging them against the UNGPs’ Effectiveness </w:t>
      </w:r>
      <w:proofErr w:type="gramStart"/>
      <w:r>
        <w:t>Criteria</w:t>
      </w:r>
      <w:r w:rsidR="009A2B6D">
        <w:t>;</w:t>
      </w:r>
      <w:proofErr w:type="gramEnd"/>
      <w:r>
        <w:t xml:space="preserve"> </w:t>
      </w:r>
    </w:p>
  </w:footnote>
  <w:footnote w:id="14">
    <w:p w14:paraId="7C255329" w14:textId="77777777" w:rsidR="00513382" w:rsidRPr="00EE31F2" w:rsidRDefault="00513382"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Jennifer </w:t>
      </w:r>
      <w:proofErr w:type="spellStart"/>
      <w:r w:rsidRPr="00EE31F2">
        <w:rPr>
          <w:rFonts w:ascii="Times New Roman" w:hAnsi="Times New Roman" w:cs="Times New Roman"/>
        </w:rPr>
        <w:t>Zerk</w:t>
      </w:r>
      <w:proofErr w:type="spellEnd"/>
      <w:r w:rsidRPr="00EE31F2">
        <w:rPr>
          <w:rFonts w:ascii="Times New Roman" w:hAnsi="Times New Roman" w:cs="Times New Roman"/>
        </w:rPr>
        <w:t xml:space="preserve">, ‘Corporate liability for gross human rights abuses Towards a fairer and more effective system of domestic law remedies A report prepared for the Office of the UN High Commissioner for Human Rights’ (no date) </w:t>
      </w:r>
      <w:hyperlink r:id="rId3" w:history="1">
        <w:r w:rsidRPr="00EE31F2">
          <w:rPr>
            <w:rStyle w:val="Hyperlink"/>
            <w:rFonts w:ascii="Times New Roman" w:hAnsi="Times New Roman" w:cs="Times New Roman"/>
          </w:rPr>
          <w:t>https://www.ohchr.org/Documents/Issues/Business/DomesticLawRemedies/StudyDomesticeLawRemedies.pdf</w:t>
        </w:r>
      </w:hyperlink>
      <w:r w:rsidRPr="00EE31F2">
        <w:rPr>
          <w:rStyle w:val="Hyperlink"/>
          <w:rFonts w:ascii="Times New Roman" w:hAnsi="Times New Roman" w:cs="Times New Roman"/>
        </w:rPr>
        <w:t xml:space="preserve"> </w:t>
      </w:r>
      <w:r w:rsidRPr="00EE31F2">
        <w:rPr>
          <w:rFonts w:ascii="Times New Roman" w:hAnsi="Times New Roman" w:cs="Times New Roman"/>
        </w:rPr>
        <w:t>(accessed 17 March 2020).</w:t>
      </w:r>
    </w:p>
  </w:footnote>
  <w:footnote w:id="15">
    <w:p w14:paraId="3EF446B4" w14:textId="77777777" w:rsidR="00513382" w:rsidRPr="00EE31F2" w:rsidRDefault="00513382"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United Nations Office of the High Commissioner for Human Rights, ‘Accountability and Remedy Project Part II: State-based non-judicial mechanisms State-based non-judicial mechanisms for accountability and remedy for business-related human rights abuses: Supporting actors or lead players? Discussion paper prepared for the 6th UN Annual Forum on Business and Human Rights’ (27-29 November 2017) </w:t>
      </w:r>
      <w:hyperlink r:id="rId4" w:history="1">
        <w:r w:rsidRPr="00EE31F2">
          <w:rPr>
            <w:rStyle w:val="Hyperlink"/>
            <w:rFonts w:ascii="Times New Roman" w:hAnsi="Times New Roman" w:cs="Times New Roman"/>
          </w:rPr>
          <w:t>https://www.ohchr.org/Documents/Issues/Business/DomesticLawRemedies/ARPII_%20DiscussionpaperonPhase2forUNForum_FINAL.pdf</w:t>
        </w:r>
      </w:hyperlink>
      <w:r w:rsidRPr="00EE31F2" w:rsidDel="00162483">
        <w:rPr>
          <w:rFonts w:ascii="Times New Roman" w:hAnsi="Times New Roman" w:cs="Times New Roman"/>
        </w:rPr>
        <w:t xml:space="preserve"> </w:t>
      </w:r>
      <w:r w:rsidRPr="00EE31F2">
        <w:rPr>
          <w:rFonts w:ascii="Times New Roman" w:hAnsi="Times New Roman" w:cs="Times New Roman"/>
        </w:rPr>
        <w:t>(accessed on 2 April 2020).</w:t>
      </w:r>
    </w:p>
  </w:footnote>
  <w:footnote w:id="16">
    <w:p w14:paraId="5F4C69DE" w14:textId="5845176C" w:rsidR="00453F6A" w:rsidRPr="00453F6A" w:rsidRDefault="00453F6A">
      <w:pPr>
        <w:pStyle w:val="FootnoteText"/>
        <w:rPr>
          <w:lang w:val="en-GB"/>
        </w:rPr>
      </w:pPr>
      <w:r>
        <w:rPr>
          <w:rStyle w:val="FootnoteReference"/>
        </w:rPr>
        <w:footnoteRef/>
      </w:r>
      <w:r>
        <w:t xml:space="preserve"> Surya Deva and</w:t>
      </w:r>
      <w:r w:rsidRPr="00453F6A">
        <w:t xml:space="preserve"> </w:t>
      </w:r>
      <w:r>
        <w:t xml:space="preserve">David </w:t>
      </w:r>
      <w:proofErr w:type="spellStart"/>
      <w:r>
        <w:t>Bilchitz</w:t>
      </w:r>
      <w:proofErr w:type="spellEnd"/>
      <w:r>
        <w:t xml:space="preserve"> (Eds.),</w:t>
      </w:r>
      <w:r w:rsidRPr="00453F6A">
        <w:t xml:space="preserve"> </w:t>
      </w:r>
      <w:r w:rsidRPr="00453F6A">
        <w:rPr>
          <w:i/>
        </w:rPr>
        <w:t>Building a Treaty on Business and Human Rights: Context and Contours</w:t>
      </w:r>
      <w:r w:rsidRPr="00453F6A">
        <w:t xml:space="preserve"> </w:t>
      </w:r>
      <w:r>
        <w:t>(</w:t>
      </w:r>
      <w:r w:rsidRPr="00453F6A">
        <w:t xml:space="preserve">Cambridge: Cambridge University </w:t>
      </w:r>
      <w:r>
        <w:t xml:space="preserve">Press, 2017), Part V. </w:t>
      </w:r>
    </w:p>
  </w:footnote>
  <w:footnote w:id="17">
    <w:p w14:paraId="05D6601F" w14:textId="75892474" w:rsidR="00E9305F" w:rsidRPr="00E9305F" w:rsidRDefault="00E9305F">
      <w:pPr>
        <w:pStyle w:val="FootnoteText"/>
        <w:rPr>
          <w:lang w:val="en-GB"/>
        </w:rPr>
      </w:pPr>
      <w:r>
        <w:rPr>
          <w:rStyle w:val="FootnoteReference"/>
        </w:rPr>
        <w:footnoteRef/>
      </w:r>
      <w:r>
        <w:t xml:space="preserve"> </w:t>
      </w:r>
      <w:r>
        <w:rPr>
          <w:lang w:val="en-GB"/>
        </w:rPr>
        <w:t xml:space="preserve">For an overview, see Haines and MacDonald, note 5, 2 citing a range of authors arguing for and against the capacity of NSBGMs to play such a role. </w:t>
      </w:r>
    </w:p>
  </w:footnote>
  <w:footnote w:id="18">
    <w:p w14:paraId="59C59DDE" w14:textId="0EBD7473"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bookmarkStart w:id="0" w:name="_Hlk56154126"/>
      <w:r w:rsidRPr="00EE31F2">
        <w:rPr>
          <w:rFonts w:ascii="Times New Roman" w:hAnsi="Times New Roman" w:cs="Times New Roman"/>
        </w:rPr>
        <w:t xml:space="preserve">United Nations, </w:t>
      </w:r>
      <w:r>
        <w:rPr>
          <w:rFonts w:ascii="Times New Roman" w:hAnsi="Times New Roman" w:cs="Times New Roman"/>
        </w:rPr>
        <w:t>‘</w:t>
      </w:r>
      <w:r w:rsidRPr="00EE31F2">
        <w:rPr>
          <w:rFonts w:ascii="Times New Roman" w:hAnsi="Times New Roman" w:cs="Times New Roman"/>
        </w:rPr>
        <w:t>Report of the Working Group on the issue of human rights and transnational corporations and other business enterprises</w:t>
      </w:r>
      <w:r>
        <w:rPr>
          <w:rFonts w:ascii="Times New Roman" w:hAnsi="Times New Roman" w:cs="Times New Roman"/>
        </w:rPr>
        <w:t>’</w:t>
      </w:r>
      <w:r w:rsidRPr="00EE31F2">
        <w:rPr>
          <w:rFonts w:ascii="Times New Roman" w:hAnsi="Times New Roman" w:cs="Times New Roman"/>
        </w:rPr>
        <w:t xml:space="preserve"> A/72/162</w:t>
      </w:r>
      <w:r>
        <w:rPr>
          <w:rFonts w:ascii="Times New Roman" w:hAnsi="Times New Roman" w:cs="Times New Roman"/>
        </w:rPr>
        <w:t>,</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18 July 2017</w:t>
      </w:r>
      <w:r>
        <w:rPr>
          <w:rFonts w:ascii="Times New Roman" w:hAnsi="Times New Roman" w:cs="Times New Roman"/>
        </w:rPr>
        <w:t>)</w:t>
      </w:r>
      <w:r w:rsidRPr="00EE31F2">
        <w:rPr>
          <w:rFonts w:ascii="Times New Roman" w:hAnsi="Times New Roman" w:cs="Times New Roman"/>
        </w:rPr>
        <w:t>.</w:t>
      </w:r>
      <w:bookmarkEnd w:id="0"/>
    </w:p>
  </w:footnote>
  <w:footnote w:id="19">
    <w:p w14:paraId="027CF47B" w14:textId="5AF9AA68"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John G. </w:t>
      </w:r>
      <w:r w:rsidRPr="00EE31F2">
        <w:rPr>
          <w:rFonts w:ascii="Times New Roman" w:hAnsi="Times New Roman" w:cs="Times New Roman"/>
          <w:lang w:val="en-GB"/>
        </w:rPr>
        <w:t xml:space="preserve">Ruggie, </w:t>
      </w:r>
      <w:r w:rsidRPr="001659DC">
        <w:rPr>
          <w:rFonts w:ascii="Times New Roman" w:hAnsi="Times New Roman" w:cs="Times New Roman"/>
          <w:i/>
          <w:lang w:val="en-GB"/>
        </w:rPr>
        <w:t>Just Business: Multinational Corporations and Human Rights</w:t>
      </w:r>
      <w:r w:rsidRPr="00EE31F2">
        <w:rPr>
          <w:rFonts w:ascii="Times New Roman" w:hAnsi="Times New Roman" w:cs="Times New Roman"/>
          <w:lang w:val="en-GB"/>
        </w:rPr>
        <w:t>. (New York:</w:t>
      </w:r>
      <w:r>
        <w:rPr>
          <w:rFonts w:ascii="Times New Roman" w:hAnsi="Times New Roman" w:cs="Times New Roman"/>
          <w:lang w:val="en-GB"/>
        </w:rPr>
        <w:t xml:space="preserve"> </w:t>
      </w:r>
      <w:r w:rsidRPr="00EE31F2">
        <w:rPr>
          <w:rFonts w:ascii="Times New Roman" w:hAnsi="Times New Roman" w:cs="Times New Roman"/>
          <w:lang w:val="en-GB"/>
        </w:rPr>
        <w:t xml:space="preserve">W.W. Norton Company, 2013), 102-104, 116. </w:t>
      </w:r>
    </w:p>
  </w:footnote>
  <w:footnote w:id="20">
    <w:p w14:paraId="1F441FFB" w14:textId="152929CF"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Ibid. </w:t>
      </w:r>
      <w:r w:rsidRPr="00EE31F2">
        <w:rPr>
          <w:rFonts w:ascii="Times New Roman" w:hAnsi="Times New Roman" w:cs="Times New Roman"/>
          <w:lang w:val="en-GB"/>
        </w:rPr>
        <w:t xml:space="preserve">Making this point about dual roles, and the potential for NSBGMs, according to Ruggie, to play a central role, see </w:t>
      </w:r>
      <w:r w:rsidRPr="00EE31F2">
        <w:rPr>
          <w:rFonts w:ascii="Times New Roman" w:hAnsi="Times New Roman" w:cs="Times New Roman"/>
        </w:rPr>
        <w:t xml:space="preserve">Stefan </w:t>
      </w:r>
      <w:proofErr w:type="spellStart"/>
      <w:r w:rsidRPr="00EE31F2">
        <w:rPr>
          <w:rFonts w:ascii="Times New Roman" w:hAnsi="Times New Roman" w:cs="Times New Roman"/>
        </w:rPr>
        <w:t>Zagelmeyer</w:t>
      </w:r>
      <w:proofErr w:type="spellEnd"/>
      <w:r w:rsidRPr="00EE31F2">
        <w:rPr>
          <w:rFonts w:ascii="Times New Roman" w:hAnsi="Times New Roman" w:cs="Times New Roman"/>
        </w:rPr>
        <w:t>, Lara Bianchi, Andrea R. Shemberg</w:t>
      </w:r>
      <w:r w:rsidRPr="00EE31F2">
        <w:rPr>
          <w:rFonts w:ascii="Times New Roman" w:hAnsi="Times New Roman" w:cs="Times New Roman"/>
          <w:lang w:val="en-GB"/>
        </w:rPr>
        <w:t xml:space="preserve"> ‘</w:t>
      </w:r>
      <w:r w:rsidRPr="00EE31F2">
        <w:rPr>
          <w:rFonts w:ascii="Times New Roman" w:hAnsi="Times New Roman" w:cs="Times New Roman"/>
        </w:rPr>
        <w:t>Non-state based non-judicial grievance mechanisms (NSBGM): An exploratory analysis</w:t>
      </w:r>
      <w:r>
        <w:rPr>
          <w:rFonts w:ascii="Times New Roman" w:hAnsi="Times New Roman" w:cs="Times New Roman"/>
        </w:rPr>
        <w:t>:</w:t>
      </w:r>
      <w:r w:rsidRPr="00EE31F2">
        <w:rPr>
          <w:rFonts w:ascii="Times New Roman" w:hAnsi="Times New Roman" w:cs="Times New Roman"/>
        </w:rPr>
        <w:t xml:space="preserve"> </w:t>
      </w:r>
      <w:r w:rsidRPr="001659DC">
        <w:rPr>
          <w:rFonts w:ascii="Times New Roman" w:hAnsi="Times New Roman" w:cs="Times New Roman"/>
        </w:rPr>
        <w:t>A report prepared for the Office of the UN High Commissioner for Human Rights</w:t>
      </w:r>
      <w:r>
        <w:rPr>
          <w:rFonts w:ascii="Times New Roman" w:hAnsi="Times New Roman" w:cs="Times New Roman"/>
        </w:rPr>
        <w:t>’</w:t>
      </w:r>
      <w:r w:rsidRPr="001659DC">
        <w:rPr>
          <w:rFonts w:ascii="Times New Roman" w:hAnsi="Times New Roman" w:cs="Times New Roman"/>
        </w:rPr>
        <w:t xml:space="preserve"> </w:t>
      </w:r>
      <w:r w:rsidRPr="00EE31F2">
        <w:rPr>
          <w:rFonts w:ascii="Times New Roman" w:hAnsi="Times New Roman" w:cs="Times New Roman"/>
        </w:rPr>
        <w:t xml:space="preserve">(13 July 2018) </w:t>
      </w:r>
      <w:hyperlink r:id="rId5" w:history="1">
        <w:r w:rsidRPr="00EE31F2">
          <w:rPr>
            <w:rStyle w:val="Hyperlink"/>
            <w:rFonts w:ascii="Times New Roman" w:hAnsi="Times New Roman" w:cs="Times New Roman"/>
          </w:rPr>
          <w:t>https://www.ohchr.org/Documents/Issues/Business/ARP/ManchesterStudy.pdf</w:t>
        </w:r>
      </w:hyperlink>
      <w:r w:rsidRPr="00EE31F2">
        <w:rPr>
          <w:rFonts w:ascii="Times New Roman" w:hAnsi="Times New Roman" w:cs="Times New Roman"/>
        </w:rPr>
        <w:t xml:space="preserve"> (accessed 17 March 2020).</w:t>
      </w:r>
    </w:p>
  </w:footnote>
  <w:footnote w:id="21">
    <w:p w14:paraId="7C08C0C0" w14:textId="55F12F05"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Human Rights Council (2011), note 3</w:t>
      </w:r>
      <w:proofErr w:type="gramStart"/>
      <w:r>
        <w:rPr>
          <w:rFonts w:ascii="Times New Roman" w:hAnsi="Times New Roman" w:cs="Times New Roman"/>
        </w:rPr>
        <w:t xml:space="preserve">, </w:t>
      </w:r>
      <w:r w:rsidRPr="00EE31F2">
        <w:rPr>
          <w:rFonts w:ascii="Times New Roman" w:hAnsi="Times New Roman" w:cs="Times New Roman"/>
        </w:rPr>
        <w:t>,</w:t>
      </w:r>
      <w:proofErr w:type="gramEnd"/>
      <w:r w:rsidRPr="00EE31F2">
        <w:rPr>
          <w:rFonts w:ascii="Times New Roman" w:hAnsi="Times New Roman" w:cs="Times New Roman"/>
        </w:rPr>
        <w:t xml:space="preserve"> </w:t>
      </w:r>
      <w:r>
        <w:rPr>
          <w:rFonts w:ascii="Times New Roman" w:hAnsi="Times New Roman" w:cs="Times New Roman"/>
        </w:rPr>
        <w:t>22</w:t>
      </w:r>
      <w:r w:rsidRPr="00EE31F2">
        <w:rPr>
          <w:rFonts w:ascii="Times New Roman" w:hAnsi="Times New Roman" w:cs="Times New Roman"/>
        </w:rPr>
        <w:t>.</w:t>
      </w:r>
    </w:p>
  </w:footnote>
  <w:footnote w:id="22">
    <w:p w14:paraId="1A456FD7" w14:textId="19EAFA41"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We discuss how both the UNGPs and UN Working Group on Business and Human Rights have defined the substantive aspects of effective remedy in section IV below. Our point here is that these substantive aspects remain marginalised within overall discussions of how effective remedy is achieved in practice.  </w:t>
      </w:r>
    </w:p>
  </w:footnote>
  <w:footnote w:id="23">
    <w:p w14:paraId="58D2EDD5" w14:textId="0E2E2298"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bCs/>
        </w:rPr>
        <w:t>Human Rights Council</w:t>
      </w:r>
      <w:r w:rsidRPr="00EE31F2">
        <w:rPr>
          <w:rFonts w:ascii="Times New Roman" w:hAnsi="Times New Roman" w:cs="Times New Roman"/>
          <w:bCs/>
        </w:rPr>
        <w:t>, note 3,</w:t>
      </w:r>
      <w:r>
        <w:rPr>
          <w:rFonts w:ascii="Times New Roman" w:hAnsi="Times New Roman" w:cs="Times New Roman"/>
          <w:lang w:val="en-GB"/>
        </w:rPr>
        <w:t xml:space="preserve"> 27</w:t>
      </w:r>
      <w:r w:rsidRPr="00EE31F2">
        <w:rPr>
          <w:rFonts w:ascii="Times New Roman" w:hAnsi="Times New Roman" w:cs="Times New Roman"/>
          <w:lang w:val="en-GB"/>
        </w:rPr>
        <w:t xml:space="preserve">. </w:t>
      </w:r>
    </w:p>
  </w:footnote>
  <w:footnote w:id="24">
    <w:p w14:paraId="29601427" w14:textId="1AF1E974"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Lukas et al., </w:t>
      </w:r>
      <w:r w:rsidRPr="00EE31F2">
        <w:rPr>
          <w:rFonts w:ascii="Times New Roman" w:hAnsi="Times New Roman" w:cs="Times New Roman"/>
          <w:i/>
          <w:lang w:val="en-GB"/>
        </w:rPr>
        <w:t>Corporate Accountability: The role and impact of non-judicial grievance mechanisms</w:t>
      </w:r>
      <w:r w:rsidRPr="00EE31F2">
        <w:rPr>
          <w:rFonts w:ascii="Times New Roman" w:hAnsi="Times New Roman" w:cs="Times New Roman"/>
          <w:lang w:val="en-GB"/>
        </w:rPr>
        <w:t xml:space="preserve"> (</w:t>
      </w:r>
      <w:r>
        <w:rPr>
          <w:rFonts w:ascii="Times New Roman" w:hAnsi="Times New Roman" w:cs="Times New Roman"/>
          <w:lang w:val="en-GB"/>
        </w:rPr>
        <w:t>Cheltenham</w:t>
      </w:r>
      <w:r w:rsidRPr="00EE31F2">
        <w:rPr>
          <w:rFonts w:ascii="Times New Roman" w:hAnsi="Times New Roman" w:cs="Times New Roman"/>
          <w:lang w:val="en-GB"/>
        </w:rPr>
        <w:t>, Edward Elgar</w:t>
      </w:r>
      <w:r>
        <w:rPr>
          <w:rFonts w:ascii="Times New Roman" w:hAnsi="Times New Roman" w:cs="Times New Roman"/>
          <w:lang w:val="en-GB"/>
        </w:rPr>
        <w:t>, 2016</w:t>
      </w:r>
      <w:r w:rsidRPr="00EE31F2">
        <w:rPr>
          <w:rFonts w:ascii="Times New Roman" w:hAnsi="Times New Roman" w:cs="Times New Roman"/>
          <w:lang w:val="en-GB"/>
        </w:rPr>
        <w:t>).</w:t>
      </w:r>
    </w:p>
  </w:footnote>
  <w:footnote w:id="25">
    <w:p w14:paraId="70D4717A" w14:textId="4D95BE83"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We make no claims here about the extent to which the effectiveness criteria processes have </w:t>
      </w:r>
      <w:proofErr w:type="gramStart"/>
      <w:r w:rsidRPr="00EE31F2">
        <w:rPr>
          <w:rFonts w:ascii="Times New Roman" w:hAnsi="Times New Roman" w:cs="Times New Roman"/>
        </w:rPr>
        <w:t>actually influenced</w:t>
      </w:r>
      <w:proofErr w:type="gramEnd"/>
      <w:r w:rsidRPr="00EE31F2">
        <w:rPr>
          <w:rFonts w:ascii="Times New Roman" w:hAnsi="Times New Roman" w:cs="Times New Roman"/>
        </w:rPr>
        <w:t xml:space="preserve"> NSBGMs in practice, as the evidence for this is rather sparse. But examples of them being discussed include IPIECA, </w:t>
      </w:r>
      <w:r>
        <w:rPr>
          <w:rFonts w:ascii="Times New Roman" w:hAnsi="Times New Roman" w:cs="Times New Roman"/>
        </w:rPr>
        <w:t>‘</w:t>
      </w:r>
      <w:r w:rsidRPr="00EE31F2">
        <w:rPr>
          <w:rFonts w:ascii="Times New Roman" w:hAnsi="Times New Roman" w:cs="Times New Roman"/>
          <w:lang w:val="en-GB"/>
        </w:rPr>
        <w:t>Community grievance mechanisms in the oil and gas industry</w:t>
      </w:r>
      <w:r>
        <w:rPr>
          <w:rFonts w:ascii="Times New Roman" w:hAnsi="Times New Roman" w:cs="Times New Roman"/>
          <w:lang w:val="en-GB"/>
        </w:rPr>
        <w:t>’</w:t>
      </w:r>
      <w:r w:rsidRPr="00EE31F2">
        <w:rPr>
          <w:rFonts w:ascii="Times New Roman" w:hAnsi="Times New Roman" w:cs="Times New Roman"/>
          <w:lang w:val="en-GB"/>
        </w:rPr>
        <w:t xml:space="preserve"> (2015) </w:t>
      </w:r>
      <w:hyperlink r:id="rId6" w:history="1">
        <w:r w:rsidRPr="00EE31F2">
          <w:rPr>
            <w:rStyle w:val="Hyperlink"/>
            <w:rFonts w:ascii="Times New Roman" w:hAnsi="Times New Roman" w:cs="Times New Roman"/>
          </w:rPr>
          <w:t>https://www.ipieca.org/resources/good-practice/community-grievance-mechanisms-in-the-oil-and-gas-industry/</w:t>
        </w:r>
      </w:hyperlink>
      <w:r>
        <w:rPr>
          <w:rStyle w:val="Hyperlink"/>
          <w:rFonts w:ascii="Times New Roman" w:hAnsi="Times New Roman" w:cs="Times New Roman"/>
        </w:rPr>
        <w:t xml:space="preserve"> (accessed 20 November 2020)</w:t>
      </w:r>
      <w:r w:rsidRPr="00EE31F2">
        <w:rPr>
          <w:rFonts w:ascii="Times New Roman" w:hAnsi="Times New Roman" w:cs="Times New Roman"/>
        </w:rPr>
        <w:t xml:space="preserve">; </w:t>
      </w:r>
    </w:p>
    <w:p w14:paraId="5D98C3B2" w14:textId="035A3B3F" w:rsidR="00786C6E" w:rsidRPr="00EE31F2" w:rsidRDefault="00786C6E" w:rsidP="001659DC">
      <w:pPr>
        <w:pStyle w:val="FootnoteText"/>
        <w:spacing w:line="360" w:lineRule="auto"/>
        <w:rPr>
          <w:rFonts w:ascii="Times New Roman" w:hAnsi="Times New Roman" w:cs="Times New Roman"/>
          <w:lang w:val="en-GB"/>
        </w:rPr>
      </w:pPr>
      <w:r w:rsidRPr="00EE31F2">
        <w:rPr>
          <w:rFonts w:ascii="Times New Roman" w:hAnsi="Times New Roman" w:cs="Times New Roman"/>
        </w:rPr>
        <w:t xml:space="preserve"> Caroline Rees, </w:t>
      </w:r>
      <w:r>
        <w:rPr>
          <w:rFonts w:ascii="Times New Roman" w:hAnsi="Times New Roman" w:cs="Times New Roman"/>
        </w:rPr>
        <w:t>‘</w:t>
      </w:r>
      <w:r w:rsidRPr="00EE31F2">
        <w:rPr>
          <w:rFonts w:ascii="Times New Roman" w:hAnsi="Times New Roman" w:cs="Times New Roman"/>
        </w:rPr>
        <w:t>Piloting Principles for Effective Company-Stakeholder Grievance Mechanisms: A Report of Lessons Learned. CSR Initiative</w:t>
      </w:r>
      <w:r>
        <w:rPr>
          <w:rFonts w:ascii="Times New Roman" w:hAnsi="Times New Roman" w:cs="Times New Roman"/>
        </w:rPr>
        <w:t>’</w:t>
      </w:r>
      <w:r w:rsidRPr="00EE31F2">
        <w:rPr>
          <w:rFonts w:ascii="Times New Roman" w:hAnsi="Times New Roman" w:cs="Times New Roman"/>
        </w:rPr>
        <w:t xml:space="preserve">, </w:t>
      </w:r>
      <w:r w:rsidRPr="001659DC">
        <w:rPr>
          <w:rFonts w:ascii="Times New Roman" w:hAnsi="Times New Roman" w:cs="Times New Roman"/>
          <w:i/>
        </w:rPr>
        <w:t>Harvard Kennedy School, Cambridge</w:t>
      </w:r>
      <w:r w:rsidRPr="00EE31F2">
        <w:rPr>
          <w:rFonts w:ascii="Times New Roman" w:hAnsi="Times New Roman" w:cs="Times New Roman"/>
        </w:rPr>
        <w:t xml:space="preserve"> (2011)</w:t>
      </w:r>
      <w:r>
        <w:rPr>
          <w:rFonts w:ascii="Times New Roman" w:hAnsi="Times New Roman" w:cs="Times New Roman"/>
        </w:rPr>
        <w:t>,</w:t>
      </w:r>
      <w:r w:rsidRPr="00EE31F2">
        <w:rPr>
          <w:rFonts w:ascii="Times New Roman" w:hAnsi="Times New Roman" w:cs="Times New Roman"/>
        </w:rPr>
        <w:t xml:space="preserve"> </w:t>
      </w:r>
      <w:hyperlink r:id="rId7" w:history="1">
        <w:r w:rsidRPr="00EE31F2">
          <w:rPr>
            <w:rStyle w:val="Hyperlink"/>
            <w:rFonts w:ascii="Times New Roman" w:hAnsi="Times New Roman" w:cs="Times New Roman"/>
          </w:rPr>
          <w:t>https://www.cdacollaborative.org/wp-content/uploads/2016/01/Piloting-Principles-for-Effective-Company-Stakeholder-Grievance-Mechanisms-A-Report-of-Lessons-Learned.pdf</w:t>
        </w:r>
      </w:hyperlink>
      <w:r>
        <w:rPr>
          <w:rStyle w:val="Hyperlink"/>
          <w:rFonts w:ascii="Times New Roman" w:hAnsi="Times New Roman" w:cs="Times New Roman"/>
        </w:rPr>
        <w:t xml:space="preserve"> (accessed 20 November 2020)</w:t>
      </w:r>
      <w:r w:rsidRPr="00EE31F2">
        <w:rPr>
          <w:rFonts w:ascii="Times New Roman" w:hAnsi="Times New Roman" w:cs="Times New Roman"/>
        </w:rPr>
        <w:t xml:space="preserve">; CSR Europe, </w:t>
      </w:r>
      <w:r>
        <w:rPr>
          <w:rFonts w:ascii="Times New Roman" w:hAnsi="Times New Roman" w:cs="Times New Roman"/>
        </w:rPr>
        <w:t>‘</w:t>
      </w:r>
      <w:r w:rsidRPr="00EE31F2">
        <w:rPr>
          <w:rFonts w:ascii="Times New Roman" w:hAnsi="Times New Roman" w:cs="Times New Roman"/>
        </w:rPr>
        <w:t>Assessing the Effectiveness of Company Grievance Mechanisms</w:t>
      </w:r>
      <w:r>
        <w:rPr>
          <w:rFonts w:ascii="Times New Roman" w:hAnsi="Times New Roman" w:cs="Times New Roman"/>
        </w:rPr>
        <w:t>’</w:t>
      </w:r>
      <w:r w:rsidRPr="00EE31F2">
        <w:rPr>
          <w:rFonts w:ascii="Times New Roman" w:hAnsi="Times New Roman" w:cs="Times New Roman"/>
        </w:rPr>
        <w:t xml:space="preserve"> (2013)  </w:t>
      </w:r>
      <w:hyperlink r:id="rId8" w:history="1">
        <w:r w:rsidRPr="00EE31F2">
          <w:rPr>
            <w:rStyle w:val="Hyperlink"/>
            <w:rFonts w:ascii="Times New Roman" w:hAnsi="Times New Roman" w:cs="Times New Roman"/>
          </w:rPr>
          <w:t>https://static1.squarespace.com/static/5df776f6866c14507f2df68a/t/5e666810b7c6ef5fcd9bf296/1583769622168/MOC-A+Report.pdf</w:t>
        </w:r>
      </w:hyperlink>
      <w:r>
        <w:rPr>
          <w:rStyle w:val="Hyperlink"/>
          <w:rFonts w:ascii="Times New Roman" w:hAnsi="Times New Roman" w:cs="Times New Roman"/>
        </w:rPr>
        <w:t xml:space="preserve"> (accessed 20 November 2020).  </w:t>
      </w:r>
    </w:p>
  </w:footnote>
  <w:footnote w:id="26">
    <w:p w14:paraId="382974DC" w14:textId="379F9B3B"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lang w:val="en-GB"/>
        </w:rPr>
        <w:t xml:space="preserve">Lukas et al, </w:t>
      </w:r>
      <w:r w:rsidRPr="001659DC">
        <w:rPr>
          <w:rFonts w:ascii="Times New Roman" w:hAnsi="Times New Roman" w:cs="Times New Roman"/>
          <w:b/>
          <w:lang w:val="en-GB"/>
        </w:rPr>
        <w:t>note 22</w:t>
      </w:r>
      <w:r w:rsidRPr="00EE31F2">
        <w:rPr>
          <w:rFonts w:ascii="Times New Roman" w:hAnsi="Times New Roman" w:cs="Times New Roman"/>
          <w:lang w:val="en-GB"/>
        </w:rPr>
        <w:t xml:space="preserve">. </w:t>
      </w:r>
    </w:p>
  </w:footnote>
  <w:footnote w:id="27">
    <w:p w14:paraId="4200AB43" w14:textId="0112FAE2"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Corporate Human Rights Benchmark</w:t>
      </w:r>
      <w:r>
        <w:rPr>
          <w:rFonts w:ascii="Times New Roman" w:hAnsi="Times New Roman" w:cs="Times New Roman"/>
        </w:rPr>
        <w:t>,</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Methodology 2019 For the Agricultural Products, Apparel and Extractives Industries</w:t>
      </w:r>
      <w:r>
        <w:rPr>
          <w:rFonts w:ascii="Times New Roman" w:hAnsi="Times New Roman" w:cs="Times New Roman"/>
        </w:rPr>
        <w:t>’</w:t>
      </w:r>
      <w:r w:rsidRPr="00EE31F2">
        <w:rPr>
          <w:rFonts w:ascii="Times New Roman" w:hAnsi="Times New Roman" w:cs="Times New Roman"/>
        </w:rPr>
        <w:t xml:space="preserve"> (2019)  </w:t>
      </w:r>
      <w:hyperlink r:id="rId9" w:history="1">
        <w:r w:rsidRPr="00EE31F2">
          <w:rPr>
            <w:rStyle w:val="Hyperlink"/>
            <w:rFonts w:ascii="Times New Roman" w:hAnsi="Times New Roman" w:cs="Times New Roman"/>
          </w:rPr>
          <w:t>https://www.corporatebenchmark.org/sites/default/files/2019-11/CHRB%202019%20Methodology%20A</w:t>
        </w:r>
        <w:bookmarkStart w:id="1" w:name="_Hlt36799652"/>
        <w:bookmarkStart w:id="2" w:name="_Hlt36799653"/>
        <w:r w:rsidRPr="00EE31F2">
          <w:rPr>
            <w:rStyle w:val="Hyperlink"/>
            <w:rFonts w:ascii="Times New Roman" w:hAnsi="Times New Roman" w:cs="Times New Roman"/>
          </w:rPr>
          <w:t>G</w:t>
        </w:r>
        <w:bookmarkEnd w:id="1"/>
        <w:bookmarkEnd w:id="2"/>
        <w:r w:rsidRPr="00EE31F2">
          <w:rPr>
            <w:rStyle w:val="Hyperlink"/>
            <w:rFonts w:ascii="Times New Roman" w:hAnsi="Times New Roman" w:cs="Times New Roman"/>
          </w:rPr>
          <w:t>APEX%2016Jan19.pdf</w:t>
        </w:r>
      </w:hyperlink>
      <w:r w:rsidRPr="00EE31F2">
        <w:rPr>
          <w:rFonts w:ascii="Times New Roman" w:hAnsi="Times New Roman" w:cs="Times New Roman"/>
        </w:rPr>
        <w:t xml:space="preserve"> (accessed on 2 April 2020). </w:t>
      </w:r>
    </w:p>
  </w:footnote>
  <w:footnote w:id="28">
    <w:p w14:paraId="5374C38D" w14:textId="502F586A"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Pr>
          <w:rFonts w:ascii="Times New Roman" w:hAnsi="Times New Roman" w:cs="Times New Roman"/>
          <w:bCs/>
        </w:rPr>
        <w:t xml:space="preserve">Human Rights </w:t>
      </w:r>
      <w:proofErr w:type="gramStart"/>
      <w:r>
        <w:rPr>
          <w:rFonts w:ascii="Times New Roman" w:hAnsi="Times New Roman" w:cs="Times New Roman"/>
          <w:bCs/>
        </w:rPr>
        <w:t>Council,</w:t>
      </w:r>
      <w:r w:rsidRPr="00EE31F2">
        <w:rPr>
          <w:rFonts w:ascii="Times New Roman" w:hAnsi="Times New Roman" w:cs="Times New Roman"/>
          <w:bCs/>
        </w:rPr>
        <w:t>,</w:t>
      </w:r>
      <w:proofErr w:type="gramEnd"/>
      <w:r w:rsidRPr="00EE31F2">
        <w:rPr>
          <w:rFonts w:ascii="Times New Roman" w:hAnsi="Times New Roman" w:cs="Times New Roman"/>
          <w:bCs/>
        </w:rPr>
        <w:t xml:space="preserve"> note 3,</w:t>
      </w:r>
      <w:r w:rsidRPr="00EE31F2">
        <w:rPr>
          <w:rFonts w:ascii="Times New Roman" w:hAnsi="Times New Roman" w:cs="Times New Roman"/>
          <w:bCs/>
          <w:lang w:val="en-GB"/>
        </w:rPr>
        <w:t xml:space="preserve"> Principle 31f.</w:t>
      </w:r>
    </w:p>
  </w:footnote>
  <w:footnote w:id="29">
    <w:p w14:paraId="178325F8" w14:textId="510D15D1"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proofErr w:type="spellStart"/>
      <w:r w:rsidRPr="00EE31F2">
        <w:rPr>
          <w:rFonts w:ascii="Times New Roman" w:hAnsi="Times New Roman" w:cs="Times New Roman"/>
        </w:rPr>
        <w:t>Benjamin</w:t>
      </w:r>
      <w:r>
        <w:rPr>
          <w:rFonts w:ascii="Times New Roman" w:hAnsi="Times New Roman" w:cs="Times New Roman"/>
        </w:rPr>
        <w:t>Thompson</w:t>
      </w:r>
      <w:proofErr w:type="spellEnd"/>
      <w:r>
        <w:rPr>
          <w:rFonts w:ascii="Times New Roman" w:hAnsi="Times New Roman" w:cs="Times New Roman"/>
        </w:rPr>
        <w:t>,</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Determining criteria to evaluate outcomes of businesses’ provision of remedy: Applying a human rights-based approach</w:t>
      </w:r>
      <w:r>
        <w:rPr>
          <w:rFonts w:ascii="Times New Roman" w:hAnsi="Times New Roman" w:cs="Times New Roman"/>
        </w:rPr>
        <w:t>’</w:t>
      </w:r>
      <w:r w:rsidRPr="00EE31F2">
        <w:rPr>
          <w:rFonts w:ascii="Times New Roman" w:hAnsi="Times New Roman" w:cs="Times New Roman"/>
        </w:rPr>
        <w:t xml:space="preserve"> (2017) 2:1 </w:t>
      </w:r>
      <w:r w:rsidRPr="00EE31F2">
        <w:rPr>
          <w:rFonts w:ascii="Times New Roman" w:hAnsi="Times New Roman" w:cs="Times New Roman"/>
          <w:i/>
          <w:iCs/>
        </w:rPr>
        <w:t>Business and Human Rights Journal</w:t>
      </w:r>
      <w:r w:rsidRPr="00EE31F2">
        <w:rPr>
          <w:rFonts w:ascii="Times New Roman" w:hAnsi="Times New Roman" w:cs="Times New Roman"/>
        </w:rPr>
        <w:t> 55, 68.</w:t>
      </w:r>
    </w:p>
  </w:footnote>
  <w:footnote w:id="30">
    <w:p w14:paraId="5A1F8851" w14:textId="4E74A29E"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proofErr w:type="spellStart"/>
      <w:r w:rsidRPr="00EE31F2">
        <w:rPr>
          <w:rFonts w:ascii="Times New Roman" w:hAnsi="Times New Roman" w:cs="Times New Roman"/>
        </w:rPr>
        <w:t>Martijn</w:t>
      </w:r>
      <w:proofErr w:type="spellEnd"/>
      <w:r w:rsidRPr="00EE31F2">
        <w:rPr>
          <w:rFonts w:ascii="Times New Roman" w:hAnsi="Times New Roman" w:cs="Times New Roman"/>
        </w:rPr>
        <w:t xml:space="preserve"> Scheltema, 'Assessing the Effectiveness of Remedy Outcomes of Non-judicial Grievance Mechanisms', (2013) </w:t>
      </w:r>
      <w:r w:rsidRPr="00EE31F2">
        <w:rPr>
          <w:rFonts w:ascii="Times New Roman" w:hAnsi="Times New Roman" w:cs="Times New Roman"/>
          <w:i/>
        </w:rPr>
        <w:t xml:space="preserve">The </w:t>
      </w:r>
      <w:proofErr w:type="spellStart"/>
      <w:r w:rsidRPr="00EE31F2">
        <w:rPr>
          <w:rFonts w:ascii="Times New Roman" w:hAnsi="Times New Roman" w:cs="Times New Roman"/>
          <w:i/>
        </w:rPr>
        <w:t>Dovenschmidt</w:t>
      </w:r>
      <w:proofErr w:type="spellEnd"/>
      <w:r w:rsidRPr="00EE31F2">
        <w:rPr>
          <w:rFonts w:ascii="Times New Roman" w:hAnsi="Times New Roman" w:cs="Times New Roman"/>
          <w:i/>
        </w:rPr>
        <w:t xml:space="preserve"> Quarterly</w:t>
      </w:r>
      <w:r>
        <w:rPr>
          <w:rFonts w:ascii="Times New Roman" w:hAnsi="Times New Roman" w:cs="Times New Roman"/>
          <w:i/>
        </w:rPr>
        <w:t>,</w:t>
      </w:r>
      <w:r w:rsidRPr="00EE31F2">
        <w:rPr>
          <w:rFonts w:ascii="Times New Roman" w:hAnsi="Times New Roman" w:cs="Times New Roman"/>
        </w:rPr>
        <w:t xml:space="preserve"> 190; </w:t>
      </w:r>
      <w:r w:rsidRPr="00EE31F2">
        <w:rPr>
          <w:rFonts w:ascii="Times New Roman" w:hAnsi="Times New Roman" w:cs="Times New Roman"/>
          <w:lang w:val="en-GB"/>
        </w:rPr>
        <w:t xml:space="preserve">May </w:t>
      </w:r>
      <w:r w:rsidRPr="006A3B66">
        <w:rPr>
          <w:rFonts w:ascii="Times New Roman" w:hAnsi="Times New Roman"/>
          <w:shd w:val="clear" w:color="auto" w:fill="FFFFFF"/>
        </w:rPr>
        <w:t xml:space="preserve">Miller-Dawkins, Kate Macdonald and Shelley D. Marshall, </w:t>
      </w:r>
      <w:r w:rsidRPr="006A3B66">
        <w:rPr>
          <w:rFonts w:ascii="Times New Roman" w:hAnsi="Times New Roman" w:hint="eastAsia"/>
          <w:shd w:val="clear" w:color="auto" w:fill="FFFFFF"/>
        </w:rPr>
        <w:t>‘</w:t>
      </w:r>
      <w:r w:rsidRPr="006A3B66">
        <w:rPr>
          <w:rFonts w:ascii="Times New Roman" w:hAnsi="Times New Roman"/>
          <w:shd w:val="clear" w:color="auto" w:fill="FFFFFF"/>
        </w:rPr>
        <w:t>Beyond Effectiveness Criteria: The Possibilities and Limits of Transnational Non-Judicial Redress Mechanisms</w:t>
      </w:r>
      <w:r w:rsidRPr="006A3B66">
        <w:rPr>
          <w:rFonts w:ascii="Times New Roman" w:hAnsi="Times New Roman" w:hint="eastAsia"/>
          <w:shd w:val="clear" w:color="auto" w:fill="FFFFFF"/>
        </w:rPr>
        <w:t>’</w:t>
      </w:r>
      <w:r w:rsidRPr="006A3B66">
        <w:rPr>
          <w:rFonts w:ascii="Times New Roman" w:hAnsi="Times New Roman"/>
          <w:shd w:val="clear" w:color="auto" w:fill="FFFFFF"/>
        </w:rPr>
        <w:t xml:space="preserve"> (November 6, 2016)</w:t>
      </w:r>
      <w:hyperlink r:id="rId10" w:tgtFrame="_blank" w:history="1">
        <w:r w:rsidRPr="006A3B66">
          <w:rPr>
            <w:rStyle w:val="Hyperlink"/>
            <w:rFonts w:ascii="Times New Roman" w:hAnsi="Times New Roman"/>
            <w:color w:val="auto"/>
            <w:shd w:val="clear" w:color="auto" w:fill="FFFFFF"/>
          </w:rPr>
          <w:t>https://ssrn.com/abstract=2865356</w:t>
        </w:r>
      </w:hyperlink>
      <w:r w:rsidRPr="006A3B66">
        <w:rPr>
          <w:rFonts w:ascii="Times New Roman" w:hAnsi="Times New Roman" w:hint="eastAsia"/>
          <w:shd w:val="clear" w:color="auto" w:fill="FFFFFF"/>
        </w:rPr>
        <w:t> </w:t>
      </w:r>
      <w:r w:rsidRPr="006A3B66">
        <w:rPr>
          <w:rFonts w:ascii="Times New Roman" w:hAnsi="Times New Roman"/>
        </w:rPr>
        <w:t xml:space="preserve"> </w:t>
      </w:r>
      <w:r w:rsidRPr="00EE31F2">
        <w:rPr>
          <w:rFonts w:ascii="Times New Roman" w:hAnsi="Times New Roman" w:cs="Times New Roman"/>
        </w:rPr>
        <w:t>(accessed on 1 April 2020).</w:t>
      </w:r>
    </w:p>
  </w:footnote>
  <w:footnote w:id="31">
    <w:p w14:paraId="24E9CC68" w14:textId="63BAF003"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Corporate Accountability Research, ‘</w:t>
      </w:r>
      <w:r w:rsidRPr="003124F2">
        <w:rPr>
          <w:rFonts w:ascii="Times New Roman" w:hAnsi="Times New Roman" w:cs="Times New Roman"/>
        </w:rPr>
        <w:t>Non-Judicial Redress Mechanisms Project Publications</w:t>
      </w:r>
      <w:proofErr w:type="gramStart"/>
      <w:r>
        <w:rPr>
          <w:rFonts w:ascii="Times New Roman" w:hAnsi="Times New Roman" w:cs="Times New Roman"/>
        </w:rPr>
        <w:t xml:space="preserve">’, </w:t>
      </w:r>
      <w:r w:rsidRPr="00EE31F2">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no date) </w:t>
      </w:r>
      <w:hyperlink r:id="rId11" w:history="1">
        <w:r w:rsidRPr="00EE31F2">
          <w:rPr>
            <w:rStyle w:val="Hyperlink"/>
            <w:rFonts w:ascii="Times New Roman" w:hAnsi="Times New Roman" w:cs="Times New Roman"/>
          </w:rPr>
          <w:t>https://corporateaccountabilityresearch.net/njm-project-publications</w:t>
        </w:r>
      </w:hyperlink>
      <w:r w:rsidRPr="00EE31F2">
        <w:rPr>
          <w:rFonts w:ascii="Times New Roman" w:hAnsi="Times New Roman" w:cs="Times New Roman"/>
        </w:rPr>
        <w:t xml:space="preserve"> (accessed on 1 April 2020). Th</w:t>
      </w:r>
      <w:r>
        <w:rPr>
          <w:rFonts w:ascii="Times New Roman" w:hAnsi="Times New Roman" w:cs="Times New Roman"/>
        </w:rPr>
        <w:t xml:space="preserve">e Non Judicial Redress Mechanisms </w:t>
      </w:r>
      <w:proofErr w:type="gramStart"/>
      <w:r>
        <w:rPr>
          <w:rFonts w:ascii="Times New Roman" w:hAnsi="Times New Roman" w:cs="Times New Roman"/>
        </w:rPr>
        <w:t xml:space="preserve">Project </w:t>
      </w:r>
      <w:r w:rsidRPr="00EE31F2">
        <w:rPr>
          <w:rFonts w:ascii="Times New Roman" w:hAnsi="Times New Roman" w:cs="Times New Roman"/>
        </w:rPr>
        <w:t xml:space="preserve"> is</w:t>
      </w:r>
      <w:proofErr w:type="gramEnd"/>
      <w:r w:rsidRPr="00EE31F2">
        <w:rPr>
          <w:rFonts w:ascii="Times New Roman" w:hAnsi="Times New Roman" w:cs="Times New Roman"/>
        </w:rPr>
        <w:t xml:space="preserve"> a multi-institutional effort with several authors and many researchers. It is a collaboration among Monash University, The University of Melbourne, Essex University, The University of Newcastle, CORE (Corporate Accountability Coalition), Homeworkers Worldwide and Action Aid Australia.</w:t>
      </w:r>
    </w:p>
  </w:footnote>
  <w:footnote w:id="32">
    <w:p w14:paraId="0149F1D4" w14:textId="65197A4B"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Haines and Macdonald, note 5; Miller-Dawkins</w:t>
      </w:r>
      <w:r>
        <w:rPr>
          <w:rFonts w:ascii="Times New Roman" w:hAnsi="Times New Roman" w:cs="Times New Roman"/>
        </w:rPr>
        <w:t>,</w:t>
      </w:r>
      <w:r w:rsidRPr="00EE31F2">
        <w:rPr>
          <w:rFonts w:ascii="Times New Roman" w:hAnsi="Times New Roman" w:cs="Times New Roman"/>
        </w:rPr>
        <w:t xml:space="preserve"> </w:t>
      </w:r>
      <w:proofErr w:type="spellStart"/>
      <w:r w:rsidRPr="00EE31F2">
        <w:rPr>
          <w:rFonts w:ascii="Times New Roman" w:hAnsi="Times New Roman" w:cs="Times New Roman"/>
        </w:rPr>
        <w:t>Macdonald</w:t>
      </w:r>
      <w:r>
        <w:rPr>
          <w:rFonts w:ascii="Times New Roman" w:hAnsi="Times New Roman" w:cs="Times New Roman"/>
        </w:rPr>
        <w:t>and</w:t>
      </w:r>
      <w:proofErr w:type="spellEnd"/>
      <w:r>
        <w:rPr>
          <w:rFonts w:ascii="Times New Roman" w:hAnsi="Times New Roman" w:cs="Times New Roman"/>
        </w:rPr>
        <w:t xml:space="preserve"> Marshall</w:t>
      </w:r>
      <w:r w:rsidRPr="00EE31F2">
        <w:rPr>
          <w:rFonts w:ascii="Times New Roman" w:hAnsi="Times New Roman" w:cs="Times New Roman"/>
        </w:rPr>
        <w:t>, n</w:t>
      </w:r>
      <w:r>
        <w:rPr>
          <w:rFonts w:ascii="Times New Roman" w:hAnsi="Times New Roman" w:cs="Times New Roman"/>
        </w:rPr>
        <w:t>ote</w:t>
      </w:r>
      <w:r w:rsidRPr="00EE31F2">
        <w:rPr>
          <w:rFonts w:ascii="Times New Roman" w:hAnsi="Times New Roman" w:cs="Times New Roman"/>
        </w:rPr>
        <w:t xml:space="preserve"> 2</w:t>
      </w:r>
      <w:r>
        <w:rPr>
          <w:rFonts w:ascii="Times New Roman" w:hAnsi="Times New Roman" w:cs="Times New Roman"/>
        </w:rPr>
        <w:t>8</w:t>
      </w:r>
      <w:r w:rsidRPr="00EE31F2">
        <w:rPr>
          <w:rFonts w:ascii="Times New Roman" w:hAnsi="Times New Roman" w:cs="Times New Roman"/>
        </w:rPr>
        <w:t xml:space="preserve">. </w:t>
      </w:r>
    </w:p>
  </w:footnote>
  <w:footnote w:id="33">
    <w:p w14:paraId="620BB1F1" w14:textId="47AC6DE1"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These are available at the Corporate Accountability Research website at </w:t>
      </w:r>
      <w:hyperlink r:id="rId12" w:history="1">
        <w:r w:rsidRPr="00EE31F2">
          <w:rPr>
            <w:rStyle w:val="Hyperlink"/>
            <w:rFonts w:ascii="Times New Roman" w:hAnsi="Times New Roman" w:cs="Times New Roman"/>
          </w:rPr>
          <w:t>https://corporateaccountabilityresearch.net/njm-project-publications (1</w:t>
        </w:r>
      </w:hyperlink>
      <w:r w:rsidRPr="00EE31F2">
        <w:rPr>
          <w:rFonts w:ascii="Times New Roman" w:hAnsi="Times New Roman" w:cs="Times New Roman"/>
        </w:rPr>
        <w:t xml:space="preserve"> April 2020). The repository includes a study of the RSPO mechanism: Kate MacDonald and </w:t>
      </w:r>
      <w:proofErr w:type="spellStart"/>
      <w:r w:rsidRPr="00EE31F2">
        <w:rPr>
          <w:rFonts w:ascii="Times New Roman" w:hAnsi="Times New Roman" w:cs="Times New Roman"/>
        </w:rPr>
        <w:t>Samanthan</w:t>
      </w:r>
      <w:proofErr w:type="spellEnd"/>
      <w:r w:rsidRPr="00EE31F2">
        <w:rPr>
          <w:rFonts w:ascii="Times New Roman" w:hAnsi="Times New Roman" w:cs="Times New Roman"/>
        </w:rPr>
        <w:t xml:space="preserve"> Balaton-</w:t>
      </w:r>
      <w:proofErr w:type="spellStart"/>
      <w:r w:rsidRPr="00EE31F2">
        <w:rPr>
          <w:rFonts w:ascii="Times New Roman" w:hAnsi="Times New Roman" w:cs="Times New Roman"/>
        </w:rPr>
        <w:t>Chrimes</w:t>
      </w:r>
      <w:proofErr w:type="spellEnd"/>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bCs/>
          <w:lang w:val="en-GB"/>
        </w:rPr>
        <w:t>The Complaints System of the Roundtable on Sustainable Palm Oil (RSPO)</w:t>
      </w:r>
      <w:r>
        <w:rPr>
          <w:rFonts w:ascii="Times New Roman" w:hAnsi="Times New Roman" w:cs="Times New Roman"/>
          <w:bCs/>
          <w:lang w:val="en-GB"/>
        </w:rPr>
        <w:t xml:space="preserve">’ </w:t>
      </w:r>
      <w:r w:rsidRPr="001659DC">
        <w:rPr>
          <w:rFonts w:ascii="Times New Roman" w:hAnsi="Times New Roman" w:cs="Times New Roman"/>
          <w:bCs/>
          <w:i/>
          <w:lang w:val="en-GB"/>
        </w:rPr>
        <w:t xml:space="preserve">Non-Judicial </w:t>
      </w:r>
      <w:proofErr w:type="spellStart"/>
      <w:r w:rsidRPr="001659DC">
        <w:rPr>
          <w:rFonts w:ascii="Times New Roman" w:hAnsi="Times New Roman" w:cs="Times New Roman"/>
          <w:bCs/>
          <w:i/>
          <w:lang w:val="en-GB"/>
        </w:rPr>
        <w:t>Reddress</w:t>
      </w:r>
      <w:proofErr w:type="spellEnd"/>
      <w:r w:rsidRPr="001659DC">
        <w:rPr>
          <w:rFonts w:ascii="Times New Roman" w:hAnsi="Times New Roman" w:cs="Times New Roman"/>
          <w:bCs/>
          <w:i/>
          <w:lang w:val="en-GB"/>
        </w:rPr>
        <w:t xml:space="preserve"> Mechanisms Report Series</w:t>
      </w:r>
      <w:r>
        <w:rPr>
          <w:rFonts w:ascii="Times New Roman" w:hAnsi="Times New Roman" w:cs="Times New Roman"/>
          <w:bCs/>
          <w:lang w:val="en-GB"/>
        </w:rPr>
        <w:t xml:space="preserve"> </w:t>
      </w:r>
      <w:r w:rsidRPr="00EE31F2">
        <w:rPr>
          <w:rFonts w:ascii="Times New Roman" w:hAnsi="Times New Roman" w:cs="Times New Roman"/>
          <w:lang w:val="en-GB"/>
        </w:rPr>
        <w:t>(2016)</w:t>
      </w:r>
      <w:r w:rsidRPr="00EE31F2">
        <w:rPr>
          <w:rFonts w:ascii="Times New Roman" w:hAnsi="Times New Roman" w:cs="Times New Roman"/>
        </w:rPr>
        <w:t xml:space="preserve"> </w:t>
      </w:r>
      <w:hyperlink r:id="rId13" w:history="1">
        <w:r w:rsidRPr="00EE31F2">
          <w:rPr>
            <w:rStyle w:val="Hyperlink"/>
            <w:rFonts w:ascii="Times New Roman" w:hAnsi="Times New Roman" w:cs="Times New Roman"/>
          </w:rPr>
          <w:t>https://corporateaccountabilityresearch.n</w:t>
        </w:r>
        <w:bookmarkStart w:id="3" w:name="_Hlt36742610"/>
        <w:bookmarkStart w:id="4" w:name="_Hlt36742611"/>
        <w:r w:rsidRPr="00EE31F2">
          <w:rPr>
            <w:rStyle w:val="Hyperlink"/>
            <w:rFonts w:ascii="Times New Roman" w:hAnsi="Times New Roman" w:cs="Times New Roman"/>
          </w:rPr>
          <w:t>e</w:t>
        </w:r>
        <w:bookmarkEnd w:id="3"/>
        <w:bookmarkEnd w:id="4"/>
        <w:r w:rsidRPr="00EE31F2">
          <w:rPr>
            <w:rStyle w:val="Hyperlink"/>
            <w:rFonts w:ascii="Times New Roman" w:hAnsi="Times New Roman" w:cs="Times New Roman"/>
          </w:rPr>
          <w:t>t/njm-report-xv-rspo</w:t>
        </w:r>
      </w:hyperlink>
      <w:r w:rsidRPr="00EE31F2">
        <w:rPr>
          <w:rFonts w:ascii="Times New Roman" w:hAnsi="Times New Roman" w:cs="Times New Roman"/>
        </w:rPr>
        <w:t xml:space="preserve"> (accessed on 1 April 2020).</w:t>
      </w:r>
    </w:p>
  </w:footnote>
  <w:footnote w:id="34">
    <w:p w14:paraId="40A15CF0" w14:textId="1D757DEB"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RSPO website</w:t>
      </w:r>
      <w:r>
        <w:rPr>
          <w:rFonts w:ascii="Times New Roman" w:hAnsi="Times New Roman" w:cs="Times New Roman"/>
          <w:lang w:val="en-GB"/>
        </w:rPr>
        <w:t>, ‘About’</w:t>
      </w:r>
      <w:r w:rsidRPr="00EE31F2">
        <w:rPr>
          <w:rFonts w:ascii="Times New Roman" w:hAnsi="Times New Roman" w:cs="Times New Roman"/>
          <w:lang w:val="en-GB"/>
        </w:rPr>
        <w:t xml:space="preserve"> (no date) </w:t>
      </w:r>
      <w:hyperlink r:id="rId14" w:history="1">
        <w:r w:rsidRPr="00EE31F2">
          <w:rPr>
            <w:rStyle w:val="Hyperlink"/>
            <w:rFonts w:ascii="Times New Roman" w:hAnsi="Times New Roman" w:cs="Times New Roman"/>
          </w:rPr>
          <w:t>https://rs</w:t>
        </w:r>
        <w:bookmarkStart w:id="5" w:name="_Hlt36742798"/>
        <w:bookmarkStart w:id="6" w:name="_Hlt36742799"/>
        <w:r w:rsidRPr="00EE31F2">
          <w:rPr>
            <w:rStyle w:val="Hyperlink"/>
            <w:rFonts w:ascii="Times New Roman" w:hAnsi="Times New Roman" w:cs="Times New Roman"/>
          </w:rPr>
          <w:t>p</w:t>
        </w:r>
        <w:bookmarkEnd w:id="5"/>
        <w:bookmarkEnd w:id="6"/>
        <w:r w:rsidRPr="00EE31F2">
          <w:rPr>
            <w:rStyle w:val="Hyperlink"/>
            <w:rFonts w:ascii="Times New Roman" w:hAnsi="Times New Roman" w:cs="Times New Roman"/>
          </w:rPr>
          <w:t>o.org/about</w:t>
        </w:r>
      </w:hyperlink>
      <w:r w:rsidRPr="00EE31F2">
        <w:rPr>
          <w:rStyle w:val="Hyperlink"/>
          <w:rFonts w:ascii="Times New Roman" w:hAnsi="Times New Roman" w:cs="Times New Roman"/>
        </w:rPr>
        <w:t xml:space="preserve"> (accessed on 20 April 2020).</w:t>
      </w:r>
    </w:p>
  </w:footnote>
  <w:footnote w:id="35">
    <w:p w14:paraId="4E652A96" w14:textId="52F5BF6C"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w:t>
      </w:r>
      <w:r>
        <w:rPr>
          <w:rFonts w:ascii="Times New Roman" w:hAnsi="Times New Roman" w:cs="Times New Roman"/>
        </w:rPr>
        <w:t xml:space="preserve"> website</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bCs/>
          <w:lang w:val="en-GB"/>
        </w:rPr>
        <w:t>#goodbadpalmoil</w:t>
      </w:r>
      <w:r>
        <w:rPr>
          <w:rFonts w:ascii="Times New Roman" w:hAnsi="Times New Roman" w:cs="Times New Roman"/>
          <w:bCs/>
          <w:lang w:val="en-GB"/>
        </w:rPr>
        <w:t>’</w:t>
      </w:r>
      <w:r w:rsidRPr="00EE31F2">
        <w:rPr>
          <w:rFonts w:ascii="Times New Roman" w:hAnsi="Times New Roman" w:cs="Times New Roman"/>
          <w:b/>
          <w:bCs/>
          <w:lang w:val="en-GB"/>
        </w:rPr>
        <w:t xml:space="preserve"> </w:t>
      </w:r>
      <w:r w:rsidRPr="00EE31F2">
        <w:rPr>
          <w:rFonts w:ascii="Times New Roman" w:hAnsi="Times New Roman" w:cs="Times New Roman"/>
          <w:bCs/>
          <w:lang w:val="en-GB"/>
        </w:rPr>
        <w:t>(no date)</w:t>
      </w:r>
      <w:r w:rsidRPr="00EE31F2">
        <w:rPr>
          <w:rFonts w:ascii="Times New Roman" w:hAnsi="Times New Roman" w:cs="Times New Roman"/>
        </w:rPr>
        <w:t xml:space="preserve"> </w:t>
      </w:r>
      <w:hyperlink r:id="rId15" w:history="1">
        <w:r w:rsidRPr="00EE31F2">
          <w:rPr>
            <w:rStyle w:val="Hyperlink"/>
            <w:rFonts w:ascii="Times New Roman" w:hAnsi="Times New Roman" w:cs="Times New Roman"/>
          </w:rPr>
          <w:t>https://rspo.org/about/goo</w:t>
        </w:r>
        <w:bookmarkStart w:id="7" w:name="_Hlt36816764"/>
        <w:bookmarkStart w:id="8" w:name="_Hlt36816765"/>
        <w:r w:rsidRPr="00EE31F2">
          <w:rPr>
            <w:rStyle w:val="Hyperlink"/>
            <w:rFonts w:ascii="Times New Roman" w:hAnsi="Times New Roman" w:cs="Times New Roman"/>
          </w:rPr>
          <w:t>d</w:t>
        </w:r>
        <w:bookmarkEnd w:id="7"/>
        <w:bookmarkEnd w:id="8"/>
        <w:r w:rsidRPr="00EE31F2">
          <w:rPr>
            <w:rStyle w:val="Hyperlink"/>
            <w:rFonts w:ascii="Times New Roman" w:hAnsi="Times New Roman" w:cs="Times New Roman"/>
          </w:rPr>
          <w:t>badpalmoil</w:t>
        </w:r>
      </w:hyperlink>
      <w:r w:rsidRPr="00EE31F2">
        <w:rPr>
          <w:rStyle w:val="Hyperlink"/>
          <w:rFonts w:ascii="Times New Roman" w:hAnsi="Times New Roman" w:cs="Times New Roman"/>
        </w:rPr>
        <w:t xml:space="preserve"> </w:t>
      </w:r>
      <w:r w:rsidRPr="00EE31F2">
        <w:rPr>
          <w:rFonts w:ascii="Times New Roman" w:hAnsi="Times New Roman" w:cs="Times New Roman"/>
        </w:rPr>
        <w:t xml:space="preserve">(accessed 2 April 2020).  </w:t>
      </w:r>
    </w:p>
  </w:footnote>
  <w:footnote w:id="36">
    <w:p w14:paraId="48EDF7CB" w14:textId="0C17DEAB"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Dennis J Murphy, ‘</w:t>
      </w:r>
      <w:r w:rsidRPr="00EE31F2">
        <w:rPr>
          <w:rFonts w:ascii="Times New Roman" w:hAnsi="Times New Roman" w:cs="Times New Roman"/>
          <w:bCs/>
        </w:rPr>
        <w:t xml:space="preserve">Palm oil: scourge of the earth, or wonder crop?’ </w:t>
      </w:r>
      <w:r w:rsidRPr="00EE31F2">
        <w:rPr>
          <w:rFonts w:ascii="Times New Roman" w:hAnsi="Times New Roman" w:cs="Times New Roman"/>
          <w:bCs/>
          <w:i/>
        </w:rPr>
        <w:t xml:space="preserve">The Conversation, </w:t>
      </w:r>
      <w:r w:rsidRPr="00EE31F2">
        <w:rPr>
          <w:rFonts w:ascii="Times New Roman" w:hAnsi="Times New Roman" w:cs="Times New Roman"/>
          <w:bCs/>
        </w:rPr>
        <w:t xml:space="preserve">(30 June 2015), </w:t>
      </w:r>
      <w:hyperlink r:id="rId16" w:history="1">
        <w:r w:rsidRPr="00EE31F2">
          <w:rPr>
            <w:rStyle w:val="Hyperlink"/>
            <w:rFonts w:ascii="Times New Roman" w:hAnsi="Times New Roman" w:cs="Times New Roman"/>
          </w:rPr>
          <w:t>https://theconversation.com/palm-oil-scourge-of-the-earth-or-wonder-crop-42165</w:t>
        </w:r>
      </w:hyperlink>
      <w:r w:rsidRPr="00EE31F2">
        <w:rPr>
          <w:rFonts w:ascii="Times New Roman" w:hAnsi="Times New Roman" w:cs="Times New Roman"/>
        </w:rPr>
        <w:t xml:space="preserve"> (accessed on 10 March 2020).</w:t>
      </w:r>
    </w:p>
  </w:footnote>
  <w:footnote w:id="37">
    <w:p w14:paraId="139F2FEE" w14:textId="02DB881A" w:rsidR="00786C6E" w:rsidRPr="00EE31F2" w:rsidRDefault="00786C6E" w:rsidP="001659DC">
      <w:pPr>
        <w:pStyle w:val="FootnoteText"/>
        <w:spacing w:line="360" w:lineRule="auto"/>
        <w:rPr>
          <w:rFonts w:ascii="Times New Roman" w:hAnsi="Times New Roman" w:cs="Times New Roman"/>
          <w:b/>
          <w:bCs/>
          <w:i/>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Rob </w:t>
      </w:r>
      <w:proofErr w:type="spellStart"/>
      <w:r w:rsidRPr="00EE31F2">
        <w:rPr>
          <w:rFonts w:ascii="Times New Roman" w:hAnsi="Times New Roman" w:cs="Times New Roman"/>
        </w:rPr>
        <w:t>Cramb</w:t>
      </w:r>
      <w:proofErr w:type="spellEnd"/>
      <w:r w:rsidRPr="00EE31F2">
        <w:rPr>
          <w:rFonts w:ascii="Times New Roman" w:hAnsi="Times New Roman" w:cs="Times New Roman"/>
        </w:rPr>
        <w:t xml:space="preserve"> and John F. McCarthy (eds.) </w:t>
      </w:r>
      <w:r w:rsidRPr="00EE31F2">
        <w:rPr>
          <w:rFonts w:ascii="Times New Roman" w:hAnsi="Times New Roman" w:cs="Times New Roman"/>
          <w:i/>
        </w:rPr>
        <w:t>The Oil Palm Complex, Smallholders, Agribusiness and the State in Indonesia and Malaysia</w:t>
      </w:r>
      <w:r w:rsidRPr="00EE31F2">
        <w:rPr>
          <w:rFonts w:ascii="Times New Roman" w:hAnsi="Times New Roman" w:cs="Times New Roman"/>
        </w:rPr>
        <w:t>. (Singapore: NUS Press 2016), 31. Other estimates for Indonesia are as high as 21 million hectares</w:t>
      </w:r>
      <w:r>
        <w:rPr>
          <w:rFonts w:ascii="Times New Roman" w:hAnsi="Times New Roman" w:cs="Times New Roman"/>
        </w:rPr>
        <w:t>;</w:t>
      </w:r>
      <w:r w:rsidRPr="00EE31F2">
        <w:rPr>
          <w:rFonts w:ascii="Times New Roman" w:hAnsi="Times New Roman" w:cs="Times New Roman"/>
        </w:rPr>
        <w:t xml:space="preserve"> </w:t>
      </w:r>
      <w:proofErr w:type="spellStart"/>
      <w:r w:rsidRPr="00EE31F2">
        <w:rPr>
          <w:rFonts w:ascii="Times New Roman" w:hAnsi="Times New Roman" w:cs="Times New Roman"/>
        </w:rPr>
        <w:t>Bhimanto</w:t>
      </w:r>
      <w:proofErr w:type="spellEnd"/>
      <w:r w:rsidRPr="00EE31F2">
        <w:rPr>
          <w:rFonts w:ascii="Times New Roman" w:hAnsi="Times New Roman" w:cs="Times New Roman"/>
        </w:rPr>
        <w:t xml:space="preserve"> </w:t>
      </w:r>
      <w:proofErr w:type="spellStart"/>
      <w:r w:rsidRPr="00EE31F2">
        <w:rPr>
          <w:rFonts w:ascii="Times New Roman" w:hAnsi="Times New Roman" w:cs="Times New Roman"/>
        </w:rPr>
        <w:t>Suwastoyo</w:t>
      </w:r>
      <w:proofErr w:type="spellEnd"/>
      <w:r w:rsidRPr="00EE31F2">
        <w:rPr>
          <w:rFonts w:ascii="Times New Roman" w:hAnsi="Times New Roman" w:cs="Times New Roman"/>
        </w:rPr>
        <w:t>, ‘</w:t>
      </w:r>
      <w:r w:rsidRPr="00EE31F2">
        <w:rPr>
          <w:rFonts w:ascii="Times New Roman" w:hAnsi="Times New Roman" w:cs="Times New Roman"/>
          <w:bCs/>
          <w:lang w:val="en-GB"/>
        </w:rPr>
        <w:t xml:space="preserve">Sawit Watch: Indonesia Has More than 21 </w:t>
      </w:r>
      <w:proofErr w:type="gramStart"/>
      <w:r w:rsidRPr="00EE31F2">
        <w:rPr>
          <w:rFonts w:ascii="Times New Roman" w:hAnsi="Times New Roman" w:cs="Times New Roman"/>
          <w:bCs/>
          <w:lang w:val="en-GB"/>
        </w:rPr>
        <w:t>Million</w:t>
      </w:r>
      <w:proofErr w:type="gramEnd"/>
      <w:r w:rsidRPr="00EE31F2">
        <w:rPr>
          <w:rFonts w:ascii="Times New Roman" w:hAnsi="Times New Roman" w:cs="Times New Roman"/>
          <w:bCs/>
          <w:lang w:val="en-GB"/>
        </w:rPr>
        <w:t xml:space="preserve"> Hectares of Oil Palm Plantations’ </w:t>
      </w:r>
      <w:r w:rsidRPr="00EE31F2">
        <w:rPr>
          <w:rFonts w:ascii="Times New Roman" w:hAnsi="Times New Roman" w:cs="Times New Roman"/>
          <w:bCs/>
          <w:i/>
          <w:lang w:val="en-GB"/>
        </w:rPr>
        <w:t xml:space="preserve">The Palm Scribe </w:t>
      </w:r>
    </w:p>
    <w:p w14:paraId="537732AD" w14:textId="6896BA2C" w:rsidR="00786C6E" w:rsidRPr="00EE31F2" w:rsidRDefault="00786C6E" w:rsidP="001659DC">
      <w:pPr>
        <w:pStyle w:val="FootnoteText"/>
        <w:spacing w:line="360" w:lineRule="auto"/>
        <w:rPr>
          <w:rFonts w:ascii="Times New Roman" w:hAnsi="Times New Roman" w:cs="Times New Roman"/>
        </w:rPr>
      </w:pPr>
      <w:r w:rsidRPr="00EE31F2">
        <w:rPr>
          <w:rFonts w:ascii="Times New Roman" w:hAnsi="Times New Roman" w:cs="Times New Roman"/>
        </w:rPr>
        <w:t xml:space="preserve"> </w:t>
      </w:r>
      <w:hyperlink r:id="rId17" w:history="1">
        <w:r w:rsidRPr="00EE31F2">
          <w:rPr>
            <w:rStyle w:val="Hyperlink"/>
            <w:rFonts w:ascii="Times New Roman" w:hAnsi="Times New Roman" w:cs="Times New Roman"/>
          </w:rPr>
          <w:t>https://thepalmscribe.id/sawit-watch-indonesia-has-more-than-21-million-</w:t>
        </w:r>
        <w:bookmarkStart w:id="9" w:name="_Hlt36817018"/>
        <w:bookmarkStart w:id="10" w:name="_Hlt36817019"/>
        <w:r w:rsidRPr="00EE31F2">
          <w:rPr>
            <w:rStyle w:val="Hyperlink"/>
            <w:rFonts w:ascii="Times New Roman" w:hAnsi="Times New Roman" w:cs="Times New Roman"/>
          </w:rPr>
          <w:t>h</w:t>
        </w:r>
        <w:bookmarkEnd w:id="9"/>
        <w:bookmarkEnd w:id="10"/>
        <w:r w:rsidRPr="00EE31F2">
          <w:rPr>
            <w:rStyle w:val="Hyperlink"/>
            <w:rFonts w:ascii="Times New Roman" w:hAnsi="Times New Roman" w:cs="Times New Roman"/>
          </w:rPr>
          <w:t>ectares-of-oil-palm-plantations/</w:t>
        </w:r>
      </w:hyperlink>
      <w:r w:rsidRPr="00EE31F2">
        <w:rPr>
          <w:rFonts w:ascii="Times New Roman" w:hAnsi="Times New Roman" w:cs="Times New Roman"/>
        </w:rPr>
        <w:t xml:space="preserve"> (accessed on 2 April 2020). </w:t>
      </w:r>
    </w:p>
  </w:footnote>
  <w:footnote w:id="38">
    <w:p w14:paraId="4F713E7B" w14:textId="0FBE3B2B"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Ibid. </w:t>
      </w:r>
    </w:p>
  </w:footnote>
  <w:footnote w:id="39">
    <w:p w14:paraId="1743352D" w14:textId="6C3EAEB0" w:rsidR="00786C6E" w:rsidRPr="00D2291C" w:rsidRDefault="00786C6E" w:rsidP="00D2291C">
      <w:pPr>
        <w:pStyle w:val="FootnoteText"/>
        <w:spacing w:line="360" w:lineRule="auto"/>
        <w:rPr>
          <w:rFonts w:ascii="Times New Roman" w:hAnsi="Times New Roman" w:cs="Times New Roman"/>
          <w:b/>
          <w:bCs/>
          <w:lang w:val="en-GB"/>
        </w:rPr>
      </w:pPr>
      <w:r w:rsidRPr="001659DC">
        <w:rPr>
          <w:rStyle w:val="FootnoteReference"/>
          <w:rFonts w:ascii="Times New Roman" w:hAnsi="Times New Roman" w:cs="Times New Roman"/>
          <w:b/>
        </w:rPr>
        <w:footnoteRef/>
      </w:r>
      <w:r w:rsidRPr="001659DC">
        <w:rPr>
          <w:rFonts w:ascii="Times New Roman" w:hAnsi="Times New Roman" w:cs="Times New Roman"/>
          <w:b/>
        </w:rPr>
        <w:t xml:space="preserve"> Among them are France in biofuels (Reuters Staff, ‘</w:t>
      </w:r>
      <w:r w:rsidRPr="00D2291C">
        <w:rPr>
          <w:rFonts w:ascii="Times New Roman" w:hAnsi="Times New Roman" w:cs="Times New Roman"/>
          <w:b/>
          <w:bCs/>
          <w:lang w:val="en-GB"/>
        </w:rPr>
        <w:t>In blow to Total, France upholds law banning palm oil from biofuel scheme’</w:t>
      </w:r>
      <w:r w:rsidRPr="001659DC">
        <w:rPr>
          <w:b/>
        </w:rPr>
        <w:t xml:space="preserve"> </w:t>
      </w:r>
      <w:r w:rsidRPr="001659DC">
        <w:rPr>
          <w:b/>
          <w:i/>
        </w:rPr>
        <w:t xml:space="preserve">Reuters </w:t>
      </w:r>
      <w:r w:rsidRPr="001659DC">
        <w:rPr>
          <w:b/>
        </w:rPr>
        <w:t xml:space="preserve">(11 October 2019) </w:t>
      </w:r>
      <w:hyperlink r:id="rId18" w:history="1">
        <w:r w:rsidRPr="001659DC">
          <w:rPr>
            <w:rStyle w:val="Hyperlink"/>
            <w:rFonts w:ascii="Times New Roman" w:hAnsi="Times New Roman" w:cs="Times New Roman"/>
            <w:b/>
          </w:rPr>
          <w:t>https://www.reuters.com/article/us-total-biofuels-palmoil/in-blow-to-total-france-upholds-law-banning-palm-oil-from-biofuel-scheme-idUSKBN1WQ0ZG</w:t>
        </w:r>
      </w:hyperlink>
      <w:r w:rsidRPr="001659DC">
        <w:rPr>
          <w:rFonts w:ascii="Times New Roman" w:hAnsi="Times New Roman" w:cs="Times New Roman"/>
          <w:b/>
        </w:rPr>
        <w:t xml:space="preserve"> (accessed 3 August 2020)); Norway public procurement of palm oil as a biofuel (</w:t>
      </w:r>
      <w:hyperlink r:id="rId19" w:history="1">
        <w:r w:rsidRPr="00D2291C">
          <w:rPr>
            <w:rStyle w:val="Hyperlink"/>
            <w:rFonts w:ascii="Times New Roman" w:hAnsi="Times New Roman" w:cs="Times New Roman"/>
            <w:b/>
            <w:bCs/>
          </w:rPr>
          <w:t>Morgan Erickson-Davis</w:t>
        </w:r>
      </w:hyperlink>
      <w:r w:rsidRPr="001659DC">
        <w:rPr>
          <w:rFonts w:ascii="Times New Roman" w:hAnsi="Times New Roman" w:cs="Times New Roman"/>
          <w:b/>
        </w:rPr>
        <w:t xml:space="preserve">, ‘Norway bans government purchasing of palm oil’ </w:t>
      </w:r>
      <w:proofErr w:type="spellStart"/>
      <w:r w:rsidRPr="001659DC">
        <w:rPr>
          <w:rFonts w:ascii="Times New Roman" w:hAnsi="Times New Roman" w:cs="Times New Roman"/>
          <w:b/>
          <w:i/>
        </w:rPr>
        <w:t>Mogabay</w:t>
      </w:r>
      <w:proofErr w:type="spellEnd"/>
      <w:r w:rsidRPr="001659DC">
        <w:rPr>
          <w:rFonts w:ascii="Times New Roman" w:hAnsi="Times New Roman" w:cs="Times New Roman"/>
          <w:b/>
          <w:i/>
        </w:rPr>
        <w:t xml:space="preserve"> News </w:t>
      </w:r>
      <w:r w:rsidRPr="001659DC">
        <w:rPr>
          <w:rFonts w:ascii="Times New Roman" w:hAnsi="Times New Roman" w:cs="Times New Roman"/>
          <w:b/>
        </w:rPr>
        <w:t xml:space="preserve">(13 June 2017) biofuel </w:t>
      </w:r>
      <w:hyperlink r:id="rId20" w:history="1">
        <w:r w:rsidRPr="001659DC">
          <w:rPr>
            <w:rStyle w:val="Hyperlink"/>
            <w:rFonts w:ascii="Times New Roman" w:hAnsi="Times New Roman" w:cs="Times New Roman"/>
            <w:b/>
          </w:rPr>
          <w:t>https://news.mongabay.com/2017/06/norway-bans-government-from-purchasing-palm-oil-biofuel/</w:t>
        </w:r>
      </w:hyperlink>
      <w:r w:rsidRPr="001659DC">
        <w:rPr>
          <w:rFonts w:ascii="Times New Roman" w:hAnsi="Times New Roman" w:cs="Times New Roman"/>
          <w:b/>
        </w:rPr>
        <w:t xml:space="preserve"> (accessed 3 August 2020)); European Commission makes palm oil ineligible to count toward EU renewable transport targets will result in a phase-out of the palm oil based biofuel (</w:t>
      </w:r>
      <w:r w:rsidRPr="00D2291C">
        <w:rPr>
          <w:rFonts w:ascii="Times New Roman" w:hAnsi="Times New Roman" w:cs="Times New Roman"/>
          <w:b/>
          <w:bCs/>
          <w:lang w:val="en-GB"/>
        </w:rPr>
        <w:t>EU Labels Biofuel From Palm Oil As Unsustainable, Bans Subsidies</w:t>
      </w:r>
      <w:r w:rsidRPr="001659DC">
        <w:rPr>
          <w:rFonts w:ascii="Times New Roman" w:hAnsi="Times New Roman" w:cs="Times New Roman"/>
          <w:b/>
          <w:bCs/>
          <w:lang w:val="en-GB"/>
        </w:rPr>
        <w:t xml:space="preserve"> </w:t>
      </w:r>
    </w:p>
    <w:p w14:paraId="5E67B6E7" w14:textId="04ED258D" w:rsidR="00786C6E" w:rsidRPr="001659DC" w:rsidRDefault="00786C6E" w:rsidP="001659DC">
      <w:pPr>
        <w:pStyle w:val="FootnoteText"/>
        <w:spacing w:line="360" w:lineRule="auto"/>
        <w:rPr>
          <w:rFonts w:ascii="Times New Roman" w:hAnsi="Times New Roman" w:cs="Times New Roman"/>
          <w:b/>
          <w:bCs/>
          <w:lang w:val="en-GB"/>
        </w:rPr>
      </w:pPr>
      <w:hyperlink r:id="rId21" w:anchor="42469e459c9d" w:history="1">
        <w:r w:rsidRPr="001659DC">
          <w:rPr>
            <w:rFonts w:ascii="Times New Roman" w:hAnsi="Times New Roman" w:cs="Times New Roman"/>
            <w:b/>
            <w:color w:val="0000FF"/>
            <w:u w:val="single"/>
          </w:rPr>
          <w:t>https://www.forbes.com/sites/davekeating/2019/03/14/eu-labels-biofuel-from-palm-oil-as-unsustainable-bans-subsidies/#42469e459c9d</w:t>
        </w:r>
      </w:hyperlink>
      <w:r w:rsidRPr="001659DC">
        <w:rPr>
          <w:rFonts w:ascii="Times New Roman" w:hAnsi="Times New Roman" w:cs="Times New Roman"/>
          <w:b/>
        </w:rPr>
        <w:t xml:space="preserve"> (accessed 3 August 2020)); a UK grocery store chain (</w:t>
      </w:r>
      <w:hyperlink r:id="rId22" w:history="1">
        <w:r w:rsidRPr="001659DC">
          <w:rPr>
            <w:rStyle w:val="Hyperlink"/>
            <w:rFonts w:ascii="Times New Roman" w:hAnsi="Times New Roman" w:cs="Times New Roman"/>
            <w:b/>
          </w:rPr>
          <w:t>https://www.theguardian.com/environment/2018/apr/10/iceland-to-be-first-uk-supermarket-to-cut-palm-oil-from-own-brand-products</w:t>
        </w:r>
      </w:hyperlink>
      <w:r w:rsidRPr="001659DC">
        <w:rPr>
          <w:rFonts w:ascii="Times New Roman" w:hAnsi="Times New Roman" w:cs="Times New Roman"/>
          <w:b/>
        </w:rPr>
        <w:t xml:space="preserve"> (accessed 3 August 2020)); UK upscale retailer removes palm oil from </w:t>
      </w:r>
      <w:proofErr w:type="spellStart"/>
      <w:r w:rsidRPr="001659DC">
        <w:rPr>
          <w:rFonts w:ascii="Times New Roman" w:hAnsi="Times New Roman" w:cs="Times New Roman"/>
          <w:b/>
        </w:rPr>
        <w:t>it</w:t>
      </w:r>
      <w:proofErr w:type="spellEnd"/>
      <w:r w:rsidRPr="001659DC">
        <w:rPr>
          <w:rFonts w:ascii="Times New Roman" w:hAnsi="Times New Roman" w:cs="Times New Roman"/>
          <w:b/>
        </w:rPr>
        <w:t xml:space="preserve"> own branded products (</w:t>
      </w:r>
      <w:hyperlink r:id="rId23" w:history="1">
        <w:r w:rsidRPr="001659DC">
          <w:rPr>
            <w:rStyle w:val="Hyperlink"/>
            <w:rFonts w:ascii="Times New Roman" w:hAnsi="Times New Roman" w:cs="Times New Roman"/>
            <w:b/>
          </w:rPr>
          <w:t>https://www.selfridges.com/US/en/features/events/selfridges-selection-palm-oil-free/</w:t>
        </w:r>
      </w:hyperlink>
      <w:r w:rsidRPr="001659DC">
        <w:rPr>
          <w:rFonts w:ascii="Times New Roman" w:hAnsi="Times New Roman" w:cs="Times New Roman"/>
          <w:b/>
        </w:rPr>
        <w:t xml:space="preserve"> (accessed 3 August 2020)).</w:t>
      </w:r>
    </w:p>
  </w:footnote>
  <w:footnote w:id="40">
    <w:p w14:paraId="04DF6B73" w14:textId="5D929166"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T.A. Jackson</w:t>
      </w:r>
      <w:r>
        <w:rPr>
          <w:rFonts w:ascii="Times New Roman" w:hAnsi="Times New Roman" w:cs="Times New Roman"/>
        </w:rPr>
        <w:t xml:space="preserve"> et al</w:t>
      </w:r>
      <w:r w:rsidRPr="00EE31F2">
        <w:rPr>
          <w:rFonts w:ascii="Times New Roman" w:hAnsi="Times New Roman" w:cs="Times New Roman"/>
        </w:rPr>
        <w:t xml:space="preserve"> ‘Learning to Love the Worlds Most Hated Crop’ (2019) 31:3 </w:t>
      </w:r>
      <w:r w:rsidRPr="00EE31F2">
        <w:rPr>
          <w:rFonts w:ascii="Times New Roman" w:hAnsi="Times New Roman" w:cs="Times New Roman"/>
          <w:i/>
        </w:rPr>
        <w:t>Journal of Palm Oil Research</w:t>
      </w:r>
      <w:r w:rsidRPr="00EE31F2">
        <w:rPr>
          <w:rFonts w:ascii="Times New Roman" w:hAnsi="Times New Roman" w:cs="Times New Roman"/>
        </w:rPr>
        <w:t>,331.</w:t>
      </w:r>
    </w:p>
  </w:footnote>
  <w:footnote w:id="41">
    <w:p w14:paraId="21D5F9BF" w14:textId="519A37DA"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w:t>
      </w:r>
      <w:r>
        <w:rPr>
          <w:rFonts w:ascii="Times New Roman" w:hAnsi="Times New Roman" w:cs="Times New Roman"/>
        </w:rPr>
        <w:t xml:space="preserve"> website</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Principles and Criteria for the Production of Sustainable Palm Oil 2018</w:t>
      </w:r>
      <w:r>
        <w:rPr>
          <w:rFonts w:ascii="Times New Roman" w:hAnsi="Times New Roman" w:cs="Times New Roman"/>
        </w:rPr>
        <w:t>’</w:t>
      </w:r>
      <w:r w:rsidRPr="00EE31F2">
        <w:rPr>
          <w:rFonts w:ascii="Times New Roman" w:hAnsi="Times New Roman" w:cs="Times New Roman"/>
        </w:rPr>
        <w:t xml:space="preserve"> (5 March 2020) </w:t>
      </w:r>
      <w:hyperlink r:id="rId24" w:history="1">
        <w:r w:rsidRPr="00EE31F2">
          <w:rPr>
            <w:rStyle w:val="Hyperlink"/>
            <w:rFonts w:ascii="Times New Roman" w:hAnsi="Times New Roman" w:cs="Times New Roman"/>
          </w:rPr>
          <w:t>https://rspo.org/resources/</w:t>
        </w:r>
        <w:bookmarkStart w:id="11" w:name="_Hlt36817768"/>
        <w:bookmarkStart w:id="12" w:name="_Hlt36817769"/>
        <w:r w:rsidRPr="00EE31F2">
          <w:rPr>
            <w:rStyle w:val="Hyperlink"/>
            <w:rFonts w:ascii="Times New Roman" w:hAnsi="Times New Roman" w:cs="Times New Roman"/>
          </w:rPr>
          <w:t>c</w:t>
        </w:r>
        <w:bookmarkEnd w:id="11"/>
        <w:bookmarkEnd w:id="12"/>
        <w:r w:rsidRPr="00EE31F2">
          <w:rPr>
            <w:rStyle w:val="Hyperlink"/>
            <w:rFonts w:ascii="Times New Roman" w:hAnsi="Times New Roman" w:cs="Times New Roman"/>
          </w:rPr>
          <w:t>ertification/rspo-principles-criteria-certification</w:t>
        </w:r>
      </w:hyperlink>
      <w:r w:rsidRPr="00EE31F2">
        <w:rPr>
          <w:rFonts w:ascii="Times New Roman" w:hAnsi="Times New Roman" w:cs="Times New Roman"/>
        </w:rPr>
        <w:t xml:space="preserve"> (accessed on 2 April 2020). </w:t>
      </w:r>
    </w:p>
  </w:footnote>
  <w:footnote w:id="42">
    <w:p w14:paraId="07B02E63" w14:textId="2DE5A9CE"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w:t>
      </w:r>
      <w:r>
        <w:rPr>
          <w:rFonts w:ascii="Times New Roman" w:hAnsi="Times New Roman" w:cs="Times New Roman"/>
        </w:rPr>
        <w:t xml:space="preserve"> website</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Membership</w:t>
      </w:r>
      <w:r>
        <w:rPr>
          <w:rFonts w:ascii="Times New Roman" w:hAnsi="Times New Roman" w:cs="Times New Roman"/>
        </w:rPr>
        <w:t>’</w:t>
      </w:r>
      <w:r w:rsidRPr="00EE31F2">
        <w:rPr>
          <w:rFonts w:ascii="Times New Roman" w:hAnsi="Times New Roman" w:cs="Times New Roman"/>
        </w:rPr>
        <w:t xml:space="preserve"> (no date) </w:t>
      </w:r>
      <w:hyperlink r:id="rId25" w:history="1">
        <w:r w:rsidRPr="00EE31F2">
          <w:rPr>
            <w:rStyle w:val="Hyperlink"/>
            <w:rFonts w:ascii="Times New Roman" w:hAnsi="Times New Roman" w:cs="Times New Roman"/>
          </w:rPr>
          <w:t>https://www.rspo.org/files/resource_centre/Factsheet-RSPO-Membership.pdf</w:t>
        </w:r>
      </w:hyperlink>
      <w:r w:rsidRPr="00EE31F2">
        <w:rPr>
          <w:rFonts w:ascii="Times New Roman" w:hAnsi="Times New Roman" w:cs="Times New Roman"/>
        </w:rPr>
        <w:t xml:space="preserve"> (accessed on 2 April 2020).  </w:t>
      </w:r>
    </w:p>
  </w:footnote>
  <w:footnote w:id="43">
    <w:p w14:paraId="0C3056E2" w14:textId="7E3B0E5C"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 website, </w:t>
      </w:r>
      <w:r>
        <w:rPr>
          <w:rFonts w:ascii="Times New Roman" w:hAnsi="Times New Roman" w:cs="Times New Roman"/>
        </w:rPr>
        <w:t>n</w:t>
      </w:r>
      <w:r w:rsidRPr="00EE31F2">
        <w:rPr>
          <w:rFonts w:ascii="Times New Roman" w:hAnsi="Times New Roman" w:cs="Times New Roman"/>
        </w:rPr>
        <w:t xml:space="preserve">ote </w:t>
      </w:r>
      <w:r>
        <w:rPr>
          <w:rFonts w:ascii="Times New Roman" w:hAnsi="Times New Roman" w:cs="Times New Roman"/>
        </w:rPr>
        <w:t>32</w:t>
      </w:r>
      <w:r w:rsidRPr="00EE31F2">
        <w:rPr>
          <w:rFonts w:ascii="Times New Roman" w:hAnsi="Times New Roman" w:cs="Times New Roman"/>
        </w:rPr>
        <w:t xml:space="preserve">. </w:t>
      </w:r>
    </w:p>
  </w:footnote>
  <w:footnote w:id="44">
    <w:p w14:paraId="09890022" w14:textId="48BD5A43"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On the environmental issues see Roberto </w:t>
      </w:r>
      <w:proofErr w:type="spellStart"/>
      <w:r w:rsidRPr="00EE31F2">
        <w:rPr>
          <w:rFonts w:ascii="Times New Roman" w:hAnsi="Times New Roman" w:cs="Times New Roman"/>
        </w:rPr>
        <w:t>Cazzolla</w:t>
      </w:r>
      <w:proofErr w:type="spellEnd"/>
      <w:r w:rsidRPr="00EE31F2">
        <w:rPr>
          <w:rFonts w:ascii="Times New Roman" w:hAnsi="Times New Roman" w:cs="Times New Roman"/>
        </w:rPr>
        <w:t xml:space="preserve"> </w:t>
      </w:r>
      <w:proofErr w:type="spellStart"/>
      <w:r w:rsidRPr="00EE31F2">
        <w:rPr>
          <w:rFonts w:ascii="Times New Roman" w:hAnsi="Times New Roman" w:cs="Times New Roman"/>
        </w:rPr>
        <w:t>Gatti</w:t>
      </w:r>
      <w:proofErr w:type="spellEnd"/>
      <w:r w:rsidRPr="00EE31F2">
        <w:rPr>
          <w:rFonts w:ascii="Times New Roman" w:hAnsi="Times New Roman" w:cs="Times New Roman"/>
        </w:rPr>
        <w:t xml:space="preserve"> et al. ‘Sustainable palm oil may not be so sustainable.’ (2019) 652 </w:t>
      </w:r>
      <w:r w:rsidRPr="00EE31F2">
        <w:rPr>
          <w:rFonts w:ascii="Times New Roman" w:hAnsi="Times New Roman" w:cs="Times New Roman"/>
          <w:i/>
          <w:iCs/>
        </w:rPr>
        <w:t>Science of The Total Environment</w:t>
      </w:r>
      <w:r w:rsidRPr="00EE31F2">
        <w:rPr>
          <w:rFonts w:ascii="Times New Roman" w:hAnsi="Times New Roman" w:cs="Times New Roman"/>
        </w:rPr>
        <w:t xml:space="preserve"> 48; Kimberly M. Carlson et al. ‘Effect of oil palm sustainability certification on deforestation and fire in Indonesia’ (2018) 115:1 </w:t>
      </w:r>
      <w:r w:rsidRPr="00EE31F2">
        <w:rPr>
          <w:rFonts w:ascii="Times New Roman" w:hAnsi="Times New Roman" w:cs="Times New Roman"/>
          <w:i/>
          <w:iCs/>
        </w:rPr>
        <w:t>Proceedings of the National Academy of Sciences</w:t>
      </w:r>
      <w:r w:rsidRPr="00EE31F2">
        <w:rPr>
          <w:rFonts w:ascii="Times New Roman" w:hAnsi="Times New Roman" w:cs="Times New Roman"/>
        </w:rPr>
        <w:t xml:space="preserve">, 121; Denis </w:t>
      </w:r>
      <w:proofErr w:type="spellStart"/>
      <w:r w:rsidRPr="00EE31F2">
        <w:rPr>
          <w:rFonts w:ascii="Times New Roman" w:hAnsi="Times New Roman" w:cs="Times New Roman"/>
        </w:rPr>
        <w:t>Ruysschaert</w:t>
      </w:r>
      <w:proofErr w:type="spellEnd"/>
      <w:r w:rsidRPr="00EE31F2">
        <w:rPr>
          <w:rFonts w:ascii="Times New Roman" w:hAnsi="Times New Roman" w:cs="Times New Roman"/>
        </w:rPr>
        <w:t>, and Denis Salles ‘Towards global voluntary standards: Questioning the effectiveness in attaining conservation goals: The case of the Roundtable on Sustainable Palm Oil (RSPO)’ (2014) 107 </w:t>
      </w:r>
      <w:r w:rsidRPr="00EE31F2">
        <w:rPr>
          <w:rFonts w:ascii="Times New Roman" w:hAnsi="Times New Roman" w:cs="Times New Roman"/>
          <w:i/>
          <w:iCs/>
        </w:rPr>
        <w:t>Ecological Economics</w:t>
      </w:r>
      <w:r w:rsidRPr="00EE31F2">
        <w:rPr>
          <w:rFonts w:ascii="Times New Roman" w:hAnsi="Times New Roman" w:cs="Times New Roman"/>
        </w:rPr>
        <w:t xml:space="preserve">, 438. On resistance by local actors, see Victoria Marin-Burgos, Joy S. Clancy, and Jon C. Lovett ‘Contesting legitimacy of voluntary sustainability certification schemes: Valuation languages and power asymmetries in the Roundtable on Sustainable Palm Oil in Colombia’ (2015) 117 </w:t>
      </w:r>
      <w:r w:rsidRPr="00EE31F2">
        <w:rPr>
          <w:rFonts w:ascii="Times New Roman" w:hAnsi="Times New Roman" w:cs="Times New Roman"/>
          <w:i/>
          <w:iCs/>
        </w:rPr>
        <w:t>Ecological Economics</w:t>
      </w:r>
      <w:r w:rsidRPr="00EE31F2">
        <w:rPr>
          <w:rFonts w:ascii="Times New Roman" w:hAnsi="Times New Roman" w:cs="Times New Roman"/>
        </w:rPr>
        <w:t>, 303.</w:t>
      </w:r>
    </w:p>
  </w:footnote>
  <w:footnote w:id="45">
    <w:p w14:paraId="49BA9BC4" w14:textId="17757D39"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 Complaints and Appeals Procedures, (Endorsed by the Board of Governors on 14 June 2017) </w:t>
      </w:r>
      <w:hyperlink r:id="rId26" w:history="1">
        <w:r w:rsidRPr="00EE31F2">
          <w:rPr>
            <w:rStyle w:val="Hyperlink"/>
            <w:rFonts w:ascii="Times New Roman" w:hAnsi="Times New Roman" w:cs="Times New Roman"/>
          </w:rPr>
          <w:t>https://www.rspo.org/articles/download/86ecb2e35265a17</w:t>
        </w:r>
      </w:hyperlink>
      <w:r w:rsidRPr="00EE31F2">
        <w:rPr>
          <w:rFonts w:ascii="Times New Roman" w:hAnsi="Times New Roman" w:cs="Times New Roman"/>
        </w:rPr>
        <w:t xml:space="preserve"> (accessed on 2 April 2020).  </w:t>
      </w:r>
    </w:p>
  </w:footnote>
  <w:footnote w:id="46">
    <w:p w14:paraId="165091A5" w14:textId="4C49694B"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This is based on analysis of what </w:t>
      </w:r>
      <w:proofErr w:type="gramStart"/>
      <w:r w:rsidRPr="00EE31F2">
        <w:rPr>
          <w:rFonts w:ascii="Times New Roman" w:hAnsi="Times New Roman" w:cs="Times New Roman"/>
        </w:rPr>
        <w:t>actually happened</w:t>
      </w:r>
      <w:proofErr w:type="gramEnd"/>
      <w:r w:rsidRPr="00EE31F2">
        <w:rPr>
          <w:rFonts w:ascii="Times New Roman" w:hAnsi="Times New Roman" w:cs="Times New Roman"/>
        </w:rPr>
        <w:t xml:space="preserve"> in the human rights claims reviewed. The RSPO Complaints and Appeals Procedures were updated in 2018. RSPO</w:t>
      </w:r>
      <w:r>
        <w:rPr>
          <w:rFonts w:ascii="Times New Roman" w:hAnsi="Times New Roman" w:cs="Times New Roman"/>
        </w:rPr>
        <w:t xml:space="preserve"> website</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Complaints and Appeals Procedures</w:t>
      </w:r>
      <w:r>
        <w:rPr>
          <w:rFonts w:ascii="Times New Roman" w:hAnsi="Times New Roman" w:cs="Times New Roman"/>
        </w:rPr>
        <w:t>’</w:t>
      </w:r>
      <w:r w:rsidRPr="00EE31F2">
        <w:rPr>
          <w:rFonts w:ascii="Times New Roman" w:hAnsi="Times New Roman" w:cs="Times New Roman"/>
        </w:rPr>
        <w:t xml:space="preserve"> (17 September 2019) </w:t>
      </w:r>
      <w:hyperlink r:id="rId27" w:history="1">
        <w:r w:rsidRPr="00EE31F2">
          <w:rPr>
            <w:rStyle w:val="Hyperlink"/>
            <w:rFonts w:ascii="Times New Roman" w:hAnsi="Times New Roman" w:cs="Times New Roman"/>
          </w:rPr>
          <w:t>https://rspo.org/resourc</w:t>
        </w:r>
        <w:bookmarkStart w:id="13" w:name="_Hlt36818313"/>
        <w:bookmarkStart w:id="14" w:name="_Hlt36818314"/>
        <w:r w:rsidRPr="00EE31F2">
          <w:rPr>
            <w:rStyle w:val="Hyperlink"/>
            <w:rFonts w:ascii="Times New Roman" w:hAnsi="Times New Roman" w:cs="Times New Roman"/>
          </w:rPr>
          <w:t>e</w:t>
        </w:r>
        <w:bookmarkEnd w:id="13"/>
        <w:bookmarkEnd w:id="14"/>
        <w:r w:rsidRPr="00EE31F2">
          <w:rPr>
            <w:rStyle w:val="Hyperlink"/>
            <w:rFonts w:ascii="Times New Roman" w:hAnsi="Times New Roman" w:cs="Times New Roman"/>
          </w:rPr>
          <w:t>s/complaints</w:t>
        </w:r>
      </w:hyperlink>
      <w:r w:rsidRPr="00EE31F2">
        <w:rPr>
          <w:rFonts w:ascii="Times New Roman" w:hAnsi="Times New Roman" w:cs="Times New Roman"/>
        </w:rPr>
        <w:t xml:space="preserve"> (accessed on 2 April 2020). </w:t>
      </w:r>
    </w:p>
  </w:footnote>
  <w:footnote w:id="47">
    <w:p w14:paraId="70584393" w14:textId="2195238E" w:rsidR="00786C6E" w:rsidRPr="00EE31F2" w:rsidRDefault="00786C6E" w:rsidP="001659DC">
      <w:pPr>
        <w:pStyle w:val="FootnoteText"/>
        <w:spacing w:line="360" w:lineRule="auto"/>
        <w:rPr>
          <w:rFonts w:ascii="Times New Roman" w:hAnsi="Times New Roman" w:cs="Times New Roman"/>
          <w:iCs/>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Holly </w:t>
      </w:r>
      <w:r w:rsidRPr="00EE31F2">
        <w:rPr>
          <w:rFonts w:ascii="Times New Roman" w:hAnsi="Times New Roman" w:cs="Times New Roman"/>
          <w:lang w:val="en-GB"/>
        </w:rPr>
        <w:t xml:space="preserve">Jonas, </w:t>
      </w:r>
      <w:r>
        <w:rPr>
          <w:rFonts w:ascii="Times New Roman" w:hAnsi="Times New Roman" w:cs="Times New Roman"/>
          <w:lang w:val="en-GB"/>
        </w:rPr>
        <w:t>‘</w:t>
      </w:r>
      <w:r w:rsidRPr="00EE31F2">
        <w:rPr>
          <w:rFonts w:ascii="Times New Roman" w:hAnsi="Times New Roman" w:cs="Times New Roman"/>
          <w:iCs/>
          <w:lang w:val="en-GB"/>
        </w:rPr>
        <w:t>A Review of the Complaints System of the Roundtable on Sustainable Palm</w:t>
      </w:r>
    </w:p>
    <w:p w14:paraId="05253FE3" w14:textId="2D16D6EE" w:rsidR="00786C6E" w:rsidRPr="00EE31F2" w:rsidRDefault="00786C6E" w:rsidP="001659DC">
      <w:pPr>
        <w:pStyle w:val="FootnoteText"/>
        <w:spacing w:line="360" w:lineRule="auto"/>
        <w:rPr>
          <w:rFonts w:ascii="Times New Roman" w:hAnsi="Times New Roman" w:cs="Times New Roman"/>
          <w:lang w:val="en-GB"/>
        </w:rPr>
      </w:pPr>
      <w:r w:rsidRPr="00EE31F2">
        <w:rPr>
          <w:rFonts w:ascii="Times New Roman" w:hAnsi="Times New Roman" w:cs="Times New Roman"/>
          <w:iCs/>
          <w:lang w:val="en-GB"/>
        </w:rPr>
        <w:t>Oil: Final Report</w:t>
      </w:r>
      <w:r>
        <w:rPr>
          <w:rFonts w:ascii="Times New Roman" w:hAnsi="Times New Roman" w:cs="Times New Roman"/>
          <w:iCs/>
          <w:lang w:val="en-GB"/>
        </w:rPr>
        <w:t>’</w:t>
      </w:r>
      <w:r w:rsidRPr="00EE31F2">
        <w:rPr>
          <w:rFonts w:ascii="Times New Roman" w:hAnsi="Times New Roman" w:cs="Times New Roman"/>
          <w:lang w:val="en-GB"/>
        </w:rPr>
        <w:t xml:space="preserve"> (</w:t>
      </w:r>
      <w:r w:rsidRPr="00EE31F2">
        <w:rPr>
          <w:rFonts w:ascii="Times New Roman" w:hAnsi="Times New Roman" w:cs="Times New Roman"/>
        </w:rPr>
        <w:t>Sabah, Malaysia</w:t>
      </w:r>
      <w:r>
        <w:rPr>
          <w:rFonts w:ascii="Times New Roman" w:hAnsi="Times New Roman" w:cs="Times New Roman"/>
        </w:rPr>
        <w:t>: Natural Justice, 2014</w:t>
      </w:r>
      <w:r w:rsidRPr="00EE31F2">
        <w:rPr>
          <w:rFonts w:ascii="Times New Roman" w:hAnsi="Times New Roman" w:cs="Times New Roman"/>
          <w:lang w:val="en-GB"/>
        </w:rPr>
        <w:t xml:space="preserve">) </w:t>
      </w:r>
    </w:p>
  </w:footnote>
  <w:footnote w:id="48">
    <w:p w14:paraId="0110A715" w14:textId="7F2B1157"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hyperlink r:id="rId28" w:history="1">
        <w:r w:rsidRPr="00D2291C">
          <w:rPr>
            <w:rStyle w:val="Hyperlink"/>
            <w:rFonts w:ascii="Times New Roman" w:hAnsi="Times New Roman" w:cs="Times New Roman"/>
          </w:rPr>
          <w:t>MSI Integrity</w:t>
        </w:r>
      </w:hyperlink>
      <w:r w:rsidRPr="00D2291C">
        <w:rPr>
          <w:rFonts w:ascii="Times New Roman" w:hAnsi="Times New Roman" w:cs="Times New Roman"/>
        </w:rPr>
        <w:t> and the </w:t>
      </w:r>
      <w:hyperlink r:id="rId29" w:history="1">
        <w:r w:rsidRPr="00D2291C">
          <w:rPr>
            <w:rStyle w:val="Hyperlink"/>
            <w:rFonts w:ascii="Times New Roman" w:hAnsi="Times New Roman" w:cs="Times New Roman"/>
          </w:rPr>
          <w:t>Duke Human Rights Center at the Kenan Institute for Ethics</w:t>
        </w:r>
      </w:hyperlink>
      <w:r w:rsidRPr="00D2291C">
        <w:rPr>
          <w:rFonts w:ascii="Times New Roman" w:hAnsi="Times New Roman" w:cs="Times New Roman"/>
          <w:lang w:val="en-GB"/>
        </w:rPr>
        <w:t xml:space="preserve"> </w:t>
      </w:r>
      <w:r>
        <w:rPr>
          <w:rFonts w:ascii="Times New Roman" w:hAnsi="Times New Roman" w:cs="Times New Roman"/>
          <w:lang w:val="en-GB"/>
        </w:rPr>
        <w:t>‘</w:t>
      </w:r>
      <w:r w:rsidRPr="00EE31F2">
        <w:rPr>
          <w:rFonts w:ascii="Times New Roman" w:hAnsi="Times New Roman" w:cs="Times New Roman"/>
          <w:lang w:val="en-GB"/>
        </w:rPr>
        <w:t>The Multi-Stakeholder Initiative Database</w:t>
      </w:r>
      <w:r>
        <w:rPr>
          <w:rFonts w:ascii="Times New Roman" w:hAnsi="Times New Roman" w:cs="Times New Roman"/>
          <w:lang w:val="en-GB"/>
        </w:rPr>
        <w:t>’</w:t>
      </w:r>
      <w:r w:rsidRPr="00EE31F2">
        <w:rPr>
          <w:rFonts w:ascii="Times New Roman" w:hAnsi="Times New Roman" w:cs="Times New Roman"/>
          <w:lang w:val="en-GB"/>
        </w:rPr>
        <w:t xml:space="preserve"> (no date) </w:t>
      </w:r>
      <w:hyperlink r:id="rId30" w:history="1">
        <w:r w:rsidRPr="00EE31F2">
          <w:rPr>
            <w:rStyle w:val="Hyperlink"/>
            <w:rFonts w:ascii="Times New Roman" w:hAnsi="Times New Roman" w:cs="Times New Roman"/>
          </w:rPr>
          <w:t>https://msi-database.org/</w:t>
        </w:r>
      </w:hyperlink>
      <w:r w:rsidRPr="00EE31F2">
        <w:rPr>
          <w:rFonts w:ascii="Times New Roman" w:hAnsi="Times New Roman" w:cs="Times New Roman"/>
        </w:rPr>
        <w:t xml:space="preserve"> (accessed on 2 April 2020).</w:t>
      </w:r>
    </w:p>
  </w:footnote>
  <w:footnote w:id="49">
    <w:p w14:paraId="4CAD24AD" w14:textId="60402A79"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MSI Integrity and the Duke Human Rights Center at the Kenan Institute for Ethics, </w:t>
      </w:r>
      <w:r>
        <w:rPr>
          <w:rFonts w:ascii="Times New Roman" w:hAnsi="Times New Roman" w:cs="Times New Roman"/>
        </w:rPr>
        <w:t>‘</w:t>
      </w:r>
      <w:r w:rsidRPr="00EE31F2">
        <w:rPr>
          <w:rFonts w:ascii="Times New Roman" w:hAnsi="Times New Roman" w:cs="Times New Roman"/>
        </w:rPr>
        <w:t>The New Regulators? Assessing the Landscape of Multi-Stakeholder Initiatives</w:t>
      </w:r>
      <w:r>
        <w:rPr>
          <w:rFonts w:ascii="Times New Roman" w:hAnsi="Times New Roman" w:cs="Times New Roman"/>
        </w:rPr>
        <w:t>’</w:t>
      </w:r>
      <w:r w:rsidRPr="00EE31F2">
        <w:rPr>
          <w:rFonts w:ascii="Times New Roman" w:hAnsi="Times New Roman" w:cs="Times New Roman"/>
        </w:rPr>
        <w:t xml:space="preserve"> (June 2017)</w:t>
      </w:r>
      <w:r>
        <w:rPr>
          <w:rFonts w:ascii="Times New Roman" w:hAnsi="Times New Roman" w:cs="Times New Roman"/>
        </w:rPr>
        <w:t>,</w:t>
      </w:r>
      <w:r w:rsidRPr="00EE31F2">
        <w:rPr>
          <w:rFonts w:ascii="Times New Roman" w:hAnsi="Times New Roman" w:cs="Times New Roman"/>
        </w:rPr>
        <w:t xml:space="preserve">18 </w:t>
      </w:r>
      <w:hyperlink r:id="rId31" w:history="1">
        <w:r w:rsidRPr="00EE31F2">
          <w:rPr>
            <w:rStyle w:val="Hyperlink"/>
            <w:rFonts w:ascii="Times New Roman" w:hAnsi="Times New Roman" w:cs="Times New Roman"/>
          </w:rPr>
          <w:t>https://msi-database.org/data/The%20New%20Regulators%20-%20MSI%20Database%20Report.pdf</w:t>
        </w:r>
      </w:hyperlink>
      <w:r w:rsidRPr="00EE31F2">
        <w:rPr>
          <w:rFonts w:ascii="Times New Roman" w:hAnsi="Times New Roman" w:cs="Times New Roman"/>
        </w:rPr>
        <w:t xml:space="preserve"> (accessed 20 July 2020); </w:t>
      </w:r>
    </w:p>
    <w:p w14:paraId="20BEAA6C" w14:textId="5636EB19" w:rsidR="00786C6E" w:rsidRPr="00EE31F2" w:rsidRDefault="00786C6E" w:rsidP="001659DC">
      <w:pPr>
        <w:pStyle w:val="FootnoteText"/>
        <w:spacing w:line="360" w:lineRule="auto"/>
        <w:rPr>
          <w:rFonts w:ascii="Times New Roman" w:hAnsi="Times New Roman" w:cs="Times New Roman"/>
          <w:lang w:val="en-GB"/>
        </w:rPr>
      </w:pPr>
      <w:r w:rsidRPr="00EE31F2">
        <w:rPr>
          <w:rFonts w:ascii="Times New Roman" w:hAnsi="Times New Roman" w:cs="Times New Roman"/>
          <w:lang w:val="en-GB"/>
        </w:rPr>
        <w:t xml:space="preserve">MSI Integrity, Not Fit-for-Purpose: </w:t>
      </w:r>
      <w:r w:rsidRPr="00EE31F2">
        <w:rPr>
          <w:rFonts w:ascii="Times New Roman" w:hAnsi="Times New Roman" w:cs="Times New Roman"/>
          <w:bCs/>
          <w:lang w:val="en-GB"/>
        </w:rPr>
        <w:t>The Grand Experiment of Multi-Stakeholder Initiatives in Corporate Accountability, Human Rights and Global Governance</w:t>
      </w:r>
      <w:r w:rsidRPr="00EE31F2">
        <w:rPr>
          <w:rFonts w:ascii="Times New Roman" w:hAnsi="Times New Roman" w:cs="Times New Roman"/>
          <w:b/>
          <w:bCs/>
          <w:lang w:val="en-GB"/>
        </w:rPr>
        <w:t xml:space="preserve"> </w:t>
      </w:r>
      <w:r w:rsidRPr="00EE31F2">
        <w:rPr>
          <w:rFonts w:ascii="Times New Roman" w:hAnsi="Times New Roman" w:cs="Times New Roman"/>
          <w:bCs/>
          <w:lang w:val="en-GB"/>
        </w:rPr>
        <w:t>(July 2020)</w:t>
      </w:r>
      <w:r>
        <w:rPr>
          <w:rFonts w:ascii="Times New Roman" w:hAnsi="Times New Roman" w:cs="Times New Roman"/>
          <w:bCs/>
          <w:lang w:val="en-GB"/>
        </w:rPr>
        <w:t>,</w:t>
      </w:r>
      <w:r w:rsidRPr="00EE31F2">
        <w:rPr>
          <w:rFonts w:ascii="Times New Roman" w:hAnsi="Times New Roman" w:cs="Times New Roman"/>
          <w:bCs/>
          <w:lang w:val="en-GB"/>
        </w:rPr>
        <w:t xml:space="preserve"> 168 </w:t>
      </w:r>
      <w:hyperlink r:id="rId32" w:anchor=":~:text=Not%20Fit%2DFor%2DPurpose%20reflects,providing%20effective%20protection%20against%20abuse" w:history="1">
        <w:r w:rsidRPr="00EE31F2">
          <w:rPr>
            <w:rStyle w:val="Hyperlink"/>
            <w:rFonts w:ascii="Times New Roman" w:hAnsi="Times New Roman" w:cs="Times New Roman"/>
          </w:rPr>
          <w:t>https://www.msi-integrity.org/not-fit-for-purpose/#:~:text=Not%20Fit%2DFor%2DPurpose%20reflects,providing%20effective%20protection%20against%20abuse</w:t>
        </w:r>
      </w:hyperlink>
      <w:r w:rsidRPr="00EE31F2">
        <w:rPr>
          <w:rFonts w:ascii="Times New Roman" w:hAnsi="Times New Roman" w:cs="Times New Roman"/>
        </w:rPr>
        <w:t xml:space="preserve"> (accessed 20 July 2020).  </w:t>
      </w:r>
    </w:p>
  </w:footnote>
  <w:footnote w:id="50">
    <w:p w14:paraId="1AED7674" w14:textId="7BCBE338"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RSPO Trends Dataset, available from the MSI Integrity website (</w:t>
      </w:r>
      <w:hyperlink r:id="rId33" w:history="1">
        <w:r w:rsidRPr="00EE31F2">
          <w:rPr>
            <w:rStyle w:val="Hyperlink"/>
            <w:rFonts w:ascii="Times New Roman" w:hAnsi="Times New Roman" w:cs="Times New Roman"/>
          </w:rPr>
          <w:t>https://www.msi-integrity.org/</w:t>
        </w:r>
      </w:hyperlink>
      <w:r w:rsidRPr="00EE31F2">
        <w:rPr>
          <w:rFonts w:ascii="Times New Roman" w:hAnsi="Times New Roman" w:cs="Times New Roman"/>
          <w:lang w:val="en-GB"/>
        </w:rPr>
        <w:t xml:space="preserve">) updated as of 30 June 2019. MSI Integrity, Not-Fir-For Purpose, </w:t>
      </w:r>
      <w:r w:rsidRPr="00EE31F2">
        <w:rPr>
          <w:rFonts w:ascii="Times New Roman" w:hAnsi="Times New Roman" w:cs="Times New Roman"/>
          <w:b/>
          <w:lang w:val="en-GB"/>
        </w:rPr>
        <w:t xml:space="preserve">Above, </w:t>
      </w:r>
      <w:r>
        <w:rPr>
          <w:rFonts w:ascii="Times New Roman" w:hAnsi="Times New Roman" w:cs="Times New Roman"/>
          <w:lang w:val="en-GB"/>
        </w:rPr>
        <w:t>note 47,</w:t>
      </w:r>
      <w:r w:rsidRPr="00EE31F2">
        <w:rPr>
          <w:rFonts w:ascii="Times New Roman" w:hAnsi="Times New Roman" w:cs="Times New Roman"/>
          <w:lang w:val="en-GB"/>
        </w:rPr>
        <w:t xml:space="preserve"> 178. For more details on the RSPO process see</w:t>
      </w:r>
      <w:r>
        <w:rPr>
          <w:rFonts w:ascii="Times New Roman" w:hAnsi="Times New Roman" w:cs="Times New Roman"/>
          <w:lang w:val="en-GB"/>
        </w:rPr>
        <w:t xml:space="preserve"> RSPO website,</w:t>
      </w:r>
      <w:r w:rsidRPr="00EE31F2">
        <w:rPr>
          <w:rFonts w:ascii="Times New Roman" w:hAnsi="Times New Roman" w:cs="Times New Roman"/>
          <w:lang w:val="en-GB"/>
        </w:rPr>
        <w:t xml:space="preserve"> </w:t>
      </w:r>
      <w:r>
        <w:rPr>
          <w:rFonts w:ascii="Times New Roman" w:hAnsi="Times New Roman" w:cs="Times New Roman"/>
          <w:lang w:val="en-GB"/>
        </w:rPr>
        <w:t>‘</w:t>
      </w:r>
      <w:r w:rsidRPr="00EE31F2">
        <w:rPr>
          <w:rFonts w:ascii="Times New Roman" w:hAnsi="Times New Roman" w:cs="Times New Roman"/>
          <w:lang w:val="en-GB"/>
        </w:rPr>
        <w:t>Complaints System</w:t>
      </w:r>
      <w:r>
        <w:rPr>
          <w:rFonts w:ascii="Times New Roman" w:hAnsi="Times New Roman" w:cs="Times New Roman"/>
          <w:lang w:val="en-GB"/>
        </w:rPr>
        <w:t>’</w:t>
      </w:r>
      <w:r w:rsidRPr="00EE31F2">
        <w:rPr>
          <w:rFonts w:ascii="Times New Roman" w:hAnsi="Times New Roman" w:cs="Times New Roman"/>
          <w:lang w:val="en-GB"/>
        </w:rPr>
        <w:t xml:space="preserve">, (no date), section 1.5. </w:t>
      </w:r>
      <w:hyperlink r:id="rId34" w:history="1">
        <w:r w:rsidRPr="00EE31F2">
          <w:rPr>
            <w:rStyle w:val="Hyperlink"/>
            <w:rFonts w:ascii="Times New Roman" w:hAnsi="Times New Roman" w:cs="Times New Roman"/>
            <w:lang w:val="en-GB"/>
          </w:rPr>
          <w:t>https://rspo.org/publications/download/bf72abc7fe14bae</w:t>
        </w:r>
      </w:hyperlink>
      <w:r w:rsidRPr="00EE31F2">
        <w:rPr>
          <w:rFonts w:ascii="Times New Roman" w:hAnsi="Times New Roman" w:cs="Times New Roman"/>
          <w:lang w:val="en-GB"/>
        </w:rPr>
        <w:t xml:space="preserve"> </w:t>
      </w:r>
      <w:r w:rsidRPr="00EE31F2">
        <w:rPr>
          <w:rFonts w:ascii="Times New Roman" w:hAnsi="Times New Roman" w:cs="Times New Roman"/>
        </w:rPr>
        <w:t>(accessed 19 March 2020).</w:t>
      </w:r>
    </w:p>
  </w:footnote>
  <w:footnote w:id="51">
    <w:p w14:paraId="0EB7F9BB" w14:textId="7A1A6CAD"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RSPO Trends Dataset, </w:t>
      </w:r>
      <w:r w:rsidRPr="00EE31F2">
        <w:rPr>
          <w:rFonts w:ascii="Times New Roman" w:hAnsi="Times New Roman" w:cs="Times New Roman"/>
          <w:b/>
          <w:lang w:val="en-GB"/>
        </w:rPr>
        <w:t>Above</w:t>
      </w:r>
      <w:r>
        <w:rPr>
          <w:rFonts w:ascii="Times New Roman" w:hAnsi="Times New Roman" w:cs="Times New Roman"/>
          <w:b/>
          <w:lang w:val="en-GB"/>
        </w:rPr>
        <w:t>, note 48</w:t>
      </w:r>
      <w:r w:rsidRPr="00EE31F2">
        <w:rPr>
          <w:rFonts w:ascii="Times New Roman" w:hAnsi="Times New Roman" w:cs="Times New Roman"/>
          <w:lang w:val="en-GB"/>
        </w:rPr>
        <w:t xml:space="preserve">. </w:t>
      </w:r>
    </w:p>
  </w:footnote>
  <w:footnote w:id="52">
    <w:p w14:paraId="2DA5A74F" w14:textId="57D8C60A"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MSI Integrity, Not fit for purpose,</w:t>
      </w:r>
      <w:r w:rsidRPr="00EE31F2">
        <w:rPr>
          <w:rFonts w:ascii="Times New Roman" w:hAnsi="Times New Roman" w:cs="Times New Roman"/>
          <w:b/>
        </w:rPr>
        <w:t xml:space="preserve"> Above</w:t>
      </w:r>
      <w:r w:rsidRPr="00EE31F2">
        <w:rPr>
          <w:rFonts w:ascii="Times New Roman" w:hAnsi="Times New Roman" w:cs="Times New Roman"/>
        </w:rPr>
        <w:t xml:space="preserve">, </w:t>
      </w:r>
      <w:r>
        <w:rPr>
          <w:rFonts w:ascii="Times New Roman" w:hAnsi="Times New Roman" w:cs="Times New Roman"/>
        </w:rPr>
        <w:t>note 47,</w:t>
      </w:r>
      <w:r w:rsidRPr="00EE31F2">
        <w:rPr>
          <w:rFonts w:ascii="Times New Roman" w:hAnsi="Times New Roman" w:cs="Times New Roman"/>
        </w:rPr>
        <w:t xml:space="preserve"> 170</w:t>
      </w:r>
    </w:p>
  </w:footnote>
  <w:footnote w:id="53">
    <w:p w14:paraId="11855B75" w14:textId="323260A6"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Although, most notably for the overall timeframe of the case, an expected </w:t>
      </w:r>
      <w:proofErr w:type="gramStart"/>
      <w:r w:rsidRPr="00EE31F2">
        <w:rPr>
          <w:rFonts w:ascii="Times New Roman" w:hAnsi="Times New Roman" w:cs="Times New Roman"/>
          <w:lang w:val="en-GB"/>
        </w:rPr>
        <w:t>time period</w:t>
      </w:r>
      <w:proofErr w:type="gramEnd"/>
      <w:r w:rsidRPr="00EE31F2">
        <w:rPr>
          <w:rFonts w:ascii="Times New Roman" w:hAnsi="Times New Roman" w:cs="Times New Roman"/>
          <w:lang w:val="en-GB"/>
        </w:rPr>
        <w:t xml:space="preserve"> is not specified for the investigation period. </w:t>
      </w:r>
      <w:proofErr w:type="gramStart"/>
      <w:r w:rsidRPr="00EE31F2">
        <w:rPr>
          <w:rFonts w:ascii="Times New Roman" w:hAnsi="Times New Roman" w:cs="Times New Roman"/>
          <w:lang w:val="en-GB"/>
        </w:rPr>
        <w:t>Instead</w:t>
      </w:r>
      <w:proofErr w:type="gramEnd"/>
      <w:r w:rsidRPr="00EE31F2">
        <w:rPr>
          <w:rFonts w:ascii="Times New Roman" w:hAnsi="Times New Roman" w:cs="Times New Roman"/>
          <w:lang w:val="en-GB"/>
        </w:rPr>
        <w:t xml:space="preserve"> </w:t>
      </w:r>
      <w:r w:rsidRPr="00EE31F2">
        <w:rPr>
          <w:rFonts w:ascii="Times New Roman" w:hAnsi="Times New Roman" w:cs="Times New Roman"/>
        </w:rPr>
        <w:t>the complaints panel ‘shall stipulate a reasonable time within which its investigations or directions in relation to investigations are to be completed’ (RSPO</w:t>
      </w:r>
      <w:r>
        <w:rPr>
          <w:rFonts w:ascii="Times New Roman" w:hAnsi="Times New Roman" w:cs="Times New Roman"/>
        </w:rPr>
        <w:t xml:space="preserve"> website</w:t>
      </w:r>
      <w:r w:rsidRPr="00EE31F2">
        <w:rPr>
          <w:rFonts w:ascii="Times New Roman" w:hAnsi="Times New Roman" w:cs="Times New Roman"/>
        </w:rPr>
        <w:t xml:space="preserve">, Above n. </w:t>
      </w:r>
      <w:r>
        <w:rPr>
          <w:rFonts w:ascii="Times New Roman" w:hAnsi="Times New Roman" w:cs="Times New Roman"/>
        </w:rPr>
        <w:t>48</w:t>
      </w:r>
      <w:r w:rsidRPr="00EE31F2">
        <w:rPr>
          <w:rFonts w:ascii="Times New Roman" w:hAnsi="Times New Roman" w:cs="Times New Roman"/>
        </w:rPr>
        <w:t xml:space="preserve">, section 11.1) </w:t>
      </w:r>
      <w:r w:rsidRPr="00EE31F2">
        <w:rPr>
          <w:rFonts w:ascii="Times New Roman" w:hAnsi="Times New Roman" w:cs="Times New Roman"/>
          <w:lang w:val="en-GB"/>
        </w:rPr>
        <w:t xml:space="preserve">  </w:t>
      </w:r>
    </w:p>
  </w:footnote>
  <w:footnote w:id="54">
    <w:p w14:paraId="51F90D6A" w14:textId="4F337F67"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RSPO Trends Dataset, </w:t>
      </w:r>
      <w:r w:rsidRPr="00EE31F2">
        <w:rPr>
          <w:rFonts w:ascii="Times New Roman" w:hAnsi="Times New Roman" w:cs="Times New Roman"/>
          <w:b/>
          <w:lang w:val="en-GB"/>
        </w:rPr>
        <w:t>Above</w:t>
      </w:r>
      <w:r>
        <w:rPr>
          <w:rFonts w:ascii="Times New Roman" w:hAnsi="Times New Roman" w:cs="Times New Roman"/>
          <w:b/>
          <w:lang w:val="en-GB"/>
        </w:rPr>
        <w:t>, note 48.</w:t>
      </w:r>
    </w:p>
  </w:footnote>
  <w:footnote w:id="55">
    <w:p w14:paraId="28614634" w14:textId="01E36D19" w:rsidR="00786C6E" w:rsidRPr="00EE31F2" w:rsidRDefault="00786C6E" w:rsidP="001659DC">
      <w:pPr>
        <w:pStyle w:val="FootnoteText"/>
        <w:spacing w:line="360" w:lineRule="auto"/>
        <w:rPr>
          <w:rFonts w:ascii="Times New Roman" w:hAnsi="Times New Roman" w:cs="Times New Roman"/>
          <w:b/>
          <w:bCs/>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Carla Garcia </w:t>
      </w:r>
      <w:proofErr w:type="spellStart"/>
      <w:r w:rsidRPr="00EE31F2">
        <w:rPr>
          <w:rFonts w:ascii="Times New Roman" w:hAnsi="Times New Roman" w:cs="Times New Roman"/>
        </w:rPr>
        <w:t>Zendejas</w:t>
      </w:r>
      <w:proofErr w:type="spellEnd"/>
      <w:r w:rsidRPr="00EE31F2">
        <w:rPr>
          <w:rFonts w:ascii="Times New Roman" w:hAnsi="Times New Roman" w:cs="Times New Roman"/>
        </w:rPr>
        <w:t>,</w:t>
      </w:r>
      <w:r w:rsidRPr="00EE31F2">
        <w:rPr>
          <w:rFonts w:ascii="Times New Roman" w:hAnsi="Times New Roman" w:cs="Times New Roman"/>
          <w:lang w:val="en-GB"/>
        </w:rPr>
        <w:t xml:space="preserve"> </w:t>
      </w:r>
      <w:r w:rsidRPr="008B2E76">
        <w:rPr>
          <w:rFonts w:ascii="Times New Roman" w:hAnsi="Times New Roman" w:cs="Times New Roman"/>
          <w:lang w:val="en-GB"/>
        </w:rPr>
        <w:t>‘</w:t>
      </w:r>
      <w:r w:rsidRPr="001659DC">
        <w:rPr>
          <w:rFonts w:ascii="Times New Roman" w:hAnsi="Times New Roman" w:cs="Times New Roman"/>
          <w:lang w:val="en-GB"/>
        </w:rPr>
        <w:t>Glass Half Full? The State of Accountability in Development Finance’</w:t>
      </w:r>
      <w:r w:rsidRPr="00EE31F2">
        <w:rPr>
          <w:rFonts w:ascii="Times New Roman" w:hAnsi="Times New Roman" w:cs="Times New Roman"/>
          <w:i/>
          <w:lang w:val="en-GB"/>
        </w:rPr>
        <w:t>,</w:t>
      </w:r>
      <w:r>
        <w:rPr>
          <w:rFonts w:ascii="Times New Roman" w:hAnsi="Times New Roman" w:cs="Times New Roman"/>
          <w:i/>
          <w:lang w:val="en-GB"/>
        </w:rPr>
        <w:t xml:space="preserve"> Centre for International Environmental Law,</w:t>
      </w:r>
      <w:r w:rsidRPr="00EE31F2">
        <w:rPr>
          <w:rFonts w:ascii="Times New Roman" w:hAnsi="Times New Roman" w:cs="Times New Roman"/>
          <w:i/>
          <w:lang w:val="en-GB"/>
        </w:rPr>
        <w:t xml:space="preserve"> </w:t>
      </w:r>
      <w:r w:rsidRPr="00EE31F2">
        <w:rPr>
          <w:rFonts w:ascii="Times New Roman" w:hAnsi="Times New Roman" w:cs="Times New Roman"/>
          <w:lang w:val="en-GB"/>
        </w:rPr>
        <w:t xml:space="preserve">(2016) </w:t>
      </w:r>
      <w:hyperlink r:id="rId35" w:history="1">
        <w:r w:rsidRPr="00EE31F2">
          <w:rPr>
            <w:rStyle w:val="Hyperlink"/>
            <w:rFonts w:ascii="Times New Roman" w:hAnsi="Times New Roman" w:cs="Times New Roman"/>
          </w:rPr>
          <w:t>https://www.ciel.org/reports/glass-half-full-the-state-of-accountability-in-development-finance-jan-2016/</w:t>
        </w:r>
      </w:hyperlink>
      <w:r w:rsidRPr="00EE31F2">
        <w:rPr>
          <w:rFonts w:ascii="Times New Roman" w:hAnsi="Times New Roman" w:cs="Times New Roman"/>
          <w:lang w:val="en-GB"/>
        </w:rPr>
        <w:t xml:space="preserve">; (accessed 1 August 2020); </w:t>
      </w:r>
    </w:p>
  </w:footnote>
  <w:footnote w:id="56">
    <w:p w14:paraId="52A43631" w14:textId="72F9DB08"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 xml:space="preserve">The reports cited above analyse </w:t>
      </w:r>
      <w:r w:rsidRPr="00EE31F2">
        <w:rPr>
          <w:rFonts w:ascii="Times New Roman" w:hAnsi="Times New Roman" w:cs="Times New Roman"/>
        </w:rPr>
        <w:t xml:space="preserve">operational level grievance mechanisms and development bank complaints mechanisms respectively in relation to the UNGPs’ effectiveness criteria. In relation to accessibility, transparency, </w:t>
      </w:r>
      <w:proofErr w:type="gramStart"/>
      <w:r w:rsidRPr="00EE31F2">
        <w:rPr>
          <w:rFonts w:ascii="Times New Roman" w:hAnsi="Times New Roman" w:cs="Times New Roman"/>
        </w:rPr>
        <w:t>equitability</w:t>
      </w:r>
      <w:proofErr w:type="gramEnd"/>
      <w:r w:rsidRPr="00EE31F2">
        <w:rPr>
          <w:rFonts w:ascii="Times New Roman" w:hAnsi="Times New Roman" w:cs="Times New Roman"/>
        </w:rPr>
        <w:t xml:space="preserve"> and legitimacy they find that levels of performance are generally significantly below that achieved by RSPO as identified above. In relation to predictability, the reports do not provide sufficient information to compare performance in a meaningful way.  </w:t>
      </w:r>
    </w:p>
  </w:footnote>
  <w:footnote w:id="57">
    <w:p w14:paraId="67B01178" w14:textId="0CDD0378"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Human Rights Council, note 3, 22</w:t>
      </w:r>
      <w:r w:rsidRPr="00EE31F2">
        <w:rPr>
          <w:rFonts w:ascii="Times New Roman" w:hAnsi="Times New Roman" w:cs="Times New Roman"/>
        </w:rPr>
        <w:t xml:space="preserve">. </w:t>
      </w:r>
    </w:p>
  </w:footnote>
  <w:footnote w:id="58">
    <w:p w14:paraId="689B05EA" w14:textId="15DACC98"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Ibid</w:t>
      </w:r>
      <w:r w:rsidRPr="00EE31F2">
        <w:rPr>
          <w:rFonts w:ascii="Times New Roman" w:hAnsi="Times New Roman" w:cs="Times New Roman"/>
        </w:rPr>
        <w:t xml:space="preserve">. </w:t>
      </w:r>
    </w:p>
  </w:footnote>
  <w:footnote w:id="59">
    <w:p w14:paraId="1E3ED7F3" w14:textId="2079DDA4"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 xml:space="preserve">UN General Assembly, </w:t>
      </w:r>
      <w:r w:rsidRPr="00EE31F2">
        <w:rPr>
          <w:rFonts w:ascii="Times New Roman" w:hAnsi="Times New Roman" w:cs="Times New Roman"/>
        </w:rPr>
        <w:t>Report of the Working Group on the issue of human rights and transnational corporations and other</w:t>
      </w:r>
    </w:p>
    <w:p w14:paraId="6BEF3501" w14:textId="169EF6C7" w:rsidR="00786C6E" w:rsidRPr="00EE31F2" w:rsidRDefault="00786C6E" w:rsidP="001659DC">
      <w:pPr>
        <w:pStyle w:val="FootnoteText"/>
        <w:spacing w:line="360" w:lineRule="auto"/>
        <w:rPr>
          <w:rFonts w:ascii="Times New Roman" w:hAnsi="Times New Roman" w:cs="Times New Roman"/>
        </w:rPr>
      </w:pPr>
      <w:r w:rsidRPr="00EE31F2">
        <w:rPr>
          <w:rFonts w:ascii="Times New Roman" w:hAnsi="Times New Roman" w:cs="Times New Roman"/>
        </w:rPr>
        <w:t xml:space="preserve">business </w:t>
      </w:r>
      <w:proofErr w:type="gramStart"/>
      <w:r w:rsidRPr="00EE31F2">
        <w:rPr>
          <w:rFonts w:ascii="Times New Roman" w:hAnsi="Times New Roman" w:cs="Times New Roman"/>
        </w:rPr>
        <w:t>enterprises  A</w:t>
      </w:r>
      <w:proofErr w:type="gramEnd"/>
      <w:r w:rsidRPr="00EE31F2">
        <w:rPr>
          <w:rFonts w:ascii="Times New Roman" w:hAnsi="Times New Roman" w:cs="Times New Roman"/>
        </w:rPr>
        <w:t>/72/</w:t>
      </w:r>
      <w:r>
        <w:rPr>
          <w:rFonts w:ascii="Times New Roman" w:hAnsi="Times New Roman" w:cs="Times New Roman"/>
        </w:rPr>
        <w:t>162</w:t>
      </w:r>
      <w:r w:rsidRPr="00EE31F2">
        <w:rPr>
          <w:rFonts w:ascii="Times New Roman" w:hAnsi="Times New Roman" w:cs="Times New Roman"/>
        </w:rPr>
        <w:t>)</w:t>
      </w:r>
      <w:r>
        <w:rPr>
          <w:rFonts w:ascii="Times New Roman" w:hAnsi="Times New Roman" w:cs="Times New Roman"/>
        </w:rPr>
        <w:t xml:space="preserve"> (18 July 2017).</w:t>
      </w:r>
    </w:p>
  </w:footnote>
  <w:footnote w:id="60">
    <w:p w14:paraId="52D15C40" w14:textId="6B6DE3F4"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Ibid</w:t>
      </w:r>
      <w:r w:rsidRPr="00EE31F2">
        <w:rPr>
          <w:rFonts w:ascii="Times New Roman" w:hAnsi="Times New Roman" w:cs="Times New Roman"/>
        </w:rPr>
        <w:t xml:space="preserve">, paragraph 15. </w:t>
      </w:r>
    </w:p>
  </w:footnote>
  <w:footnote w:id="61">
    <w:p w14:paraId="44CCEAE0" w14:textId="71CEFDEA"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Pr>
          <w:rFonts w:ascii="Times New Roman" w:hAnsi="Times New Roman" w:cs="Times New Roman"/>
        </w:rPr>
        <w:t xml:space="preserve"> Ibid</w:t>
      </w:r>
      <w:r w:rsidRPr="00EE31F2">
        <w:rPr>
          <w:rFonts w:ascii="Times New Roman" w:hAnsi="Times New Roman" w:cs="Times New Roman"/>
        </w:rPr>
        <w:t xml:space="preserve">, paragraph 39, quoting Dinah Shelton, </w:t>
      </w:r>
      <w:r w:rsidRPr="00EE31F2">
        <w:rPr>
          <w:rFonts w:ascii="Times New Roman" w:hAnsi="Times New Roman" w:cs="Times New Roman"/>
          <w:i/>
          <w:iCs/>
        </w:rPr>
        <w:t>Remedies in International Human Rights</w:t>
      </w:r>
      <w:r w:rsidRPr="00EE31F2">
        <w:rPr>
          <w:rFonts w:ascii="Times New Roman" w:hAnsi="Times New Roman" w:cs="Times New Roman"/>
        </w:rPr>
        <w:t xml:space="preserve"> Law, p. 10.</w:t>
      </w:r>
    </w:p>
  </w:footnote>
  <w:footnote w:id="62">
    <w:p w14:paraId="045B753C" w14:textId="2CEFDC64"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Ibid</w:t>
      </w:r>
      <w:r w:rsidRPr="00EE31F2">
        <w:rPr>
          <w:rFonts w:ascii="Times New Roman" w:hAnsi="Times New Roman" w:cs="Times New Roman"/>
        </w:rPr>
        <w:t xml:space="preserve">, paragraphs 40, 43-54. </w:t>
      </w:r>
    </w:p>
  </w:footnote>
  <w:footnote w:id="63">
    <w:p w14:paraId="43AD3AD1" w14:textId="08E6AED7"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Ibid</w:t>
      </w:r>
      <w:r w:rsidRPr="00EE31F2">
        <w:rPr>
          <w:rFonts w:ascii="Times New Roman" w:hAnsi="Times New Roman" w:cs="Times New Roman"/>
        </w:rPr>
        <w:t xml:space="preserve">, paragraph 22. </w:t>
      </w:r>
    </w:p>
  </w:footnote>
  <w:footnote w:id="64">
    <w:p w14:paraId="5DB11E05" w14:textId="14CE1EA9"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The rightsholders’ subjective perceptions are always relevant to understanding the reality of remedy. However, those perceptions may be based on unrealistically low or unrealistically high expectations of the remedial system. </w:t>
      </w:r>
    </w:p>
  </w:footnote>
  <w:footnote w:id="65">
    <w:p w14:paraId="306A0795" w14:textId="7F5ED0C8"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 Status of Complaints (no date) </w:t>
      </w:r>
      <w:hyperlink r:id="rId36" w:history="1">
        <w:r w:rsidRPr="00EE31F2">
          <w:rPr>
            <w:rStyle w:val="Hyperlink"/>
            <w:rFonts w:ascii="Times New Roman" w:hAnsi="Times New Roman" w:cs="Times New Roman"/>
          </w:rPr>
          <w:t>https://askrspo.force.com/Complaint/s/casetracker</w:t>
        </w:r>
      </w:hyperlink>
      <w:r w:rsidRPr="00EE31F2">
        <w:rPr>
          <w:rFonts w:ascii="Times New Roman" w:hAnsi="Times New Roman" w:cs="Times New Roman"/>
        </w:rPr>
        <w:t xml:space="preserve"> (accessed on 2 April 2020).</w:t>
      </w:r>
    </w:p>
  </w:footnote>
  <w:footnote w:id="66">
    <w:p w14:paraId="7E074AAA" w14:textId="233FB9F9"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 accordance with the UNGPs, we used the International Bill of Rights and the Core Conventions of the International Labor Organization as the relevant set of internationally recognized set of rights. </w:t>
      </w:r>
    </w:p>
  </w:footnote>
  <w:footnote w:id="67">
    <w:p w14:paraId="70668517" w14:textId="2AC55E62"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An example is </w:t>
      </w:r>
      <w:r w:rsidRPr="001659DC">
        <w:rPr>
          <w:rFonts w:ascii="Times New Roman" w:hAnsi="Times New Roman" w:cs="Times New Roman"/>
          <w:i/>
        </w:rPr>
        <w:t xml:space="preserve">RSPO Claim </w:t>
      </w:r>
      <w:proofErr w:type="spellStart"/>
      <w:r w:rsidRPr="001659DC">
        <w:rPr>
          <w:rFonts w:ascii="Times New Roman" w:hAnsi="Times New Roman" w:cs="Times New Roman"/>
          <w:i/>
        </w:rPr>
        <w:t>PreCAP</w:t>
      </w:r>
      <w:proofErr w:type="spellEnd"/>
      <w:r w:rsidRPr="001659DC">
        <w:rPr>
          <w:rFonts w:ascii="Times New Roman" w:hAnsi="Times New Roman" w:cs="Times New Roman"/>
          <w:i/>
        </w:rPr>
        <w:t xml:space="preserve">/2015/24/PR </w:t>
      </w:r>
      <w:proofErr w:type="spellStart"/>
      <w:r w:rsidRPr="001659DC">
        <w:rPr>
          <w:rFonts w:ascii="Times New Roman" w:hAnsi="Times New Roman" w:cs="Times New Roman"/>
          <w:i/>
        </w:rPr>
        <w:t>Poligrow</w:t>
      </w:r>
      <w:proofErr w:type="spellEnd"/>
      <w:r w:rsidRPr="001659DC">
        <w:rPr>
          <w:rFonts w:ascii="Times New Roman" w:hAnsi="Times New Roman" w:cs="Times New Roman"/>
          <w:i/>
        </w:rPr>
        <w:t xml:space="preserve"> Italy</w:t>
      </w:r>
      <w:r w:rsidRPr="00EE31F2">
        <w:rPr>
          <w:rFonts w:ascii="Times New Roman" w:hAnsi="Times New Roman" w:cs="Times New Roman"/>
        </w:rPr>
        <w:t xml:space="preserve"> (a subsidiary of </w:t>
      </w:r>
      <w:proofErr w:type="spellStart"/>
      <w:r w:rsidRPr="00EE31F2">
        <w:rPr>
          <w:rFonts w:ascii="Times New Roman" w:hAnsi="Times New Roman" w:cs="Times New Roman"/>
        </w:rPr>
        <w:t>Poligrow</w:t>
      </w:r>
      <w:proofErr w:type="spellEnd"/>
      <w:r w:rsidRPr="00EE31F2">
        <w:rPr>
          <w:rFonts w:ascii="Times New Roman" w:hAnsi="Times New Roman" w:cs="Times New Roman"/>
        </w:rPr>
        <w:t xml:space="preserve"> Colombia SAS) which was made in response to the Environmental Investigation Agency’s video ‘Between Water and Palm Oil’ (9 August 2015) </w:t>
      </w:r>
      <w:hyperlink r:id="rId37" w:history="1">
        <w:r w:rsidRPr="00EE31F2">
          <w:rPr>
            <w:rStyle w:val="Hyperlink"/>
            <w:rFonts w:ascii="Times New Roman" w:hAnsi="Times New Roman" w:cs="Times New Roman"/>
          </w:rPr>
          <w:t>https://www.youtube.com/watch?v</w:t>
        </w:r>
        <w:bookmarkStart w:id="15" w:name="_Hlt36826927"/>
        <w:bookmarkStart w:id="16" w:name="_Hlt36826928"/>
        <w:r w:rsidRPr="00EE31F2">
          <w:rPr>
            <w:rStyle w:val="Hyperlink"/>
            <w:rFonts w:ascii="Times New Roman" w:hAnsi="Times New Roman" w:cs="Times New Roman"/>
          </w:rPr>
          <w:t>=</w:t>
        </w:r>
        <w:bookmarkEnd w:id="15"/>
        <w:bookmarkEnd w:id="16"/>
        <w:r w:rsidRPr="00EE31F2">
          <w:rPr>
            <w:rStyle w:val="Hyperlink"/>
            <w:rFonts w:ascii="Times New Roman" w:hAnsi="Times New Roman" w:cs="Times New Roman"/>
          </w:rPr>
          <w:t>6q2RU_8RRTc</w:t>
        </w:r>
      </w:hyperlink>
      <w:r w:rsidRPr="00EE31F2">
        <w:rPr>
          <w:rFonts w:ascii="Times New Roman" w:hAnsi="Times New Roman" w:cs="Times New Roman"/>
        </w:rPr>
        <w:t xml:space="preserve"> (accessed on 2 April 2020). While that group did have communications with RSPO regarding the claim, neither it nor any community or person ever filed a complaint in the matter. </w:t>
      </w:r>
    </w:p>
  </w:footnote>
  <w:footnote w:id="68">
    <w:p w14:paraId="32963324" w14:textId="2931F5B3" w:rsidR="00786C6E" w:rsidRPr="00EE31F2" w:rsidRDefault="00786C6E" w:rsidP="001659DC">
      <w:pPr>
        <w:pStyle w:val="FootnoteText"/>
        <w:spacing w:line="360" w:lineRule="auto"/>
        <w:rPr>
          <w:rFonts w:ascii="Times New Roman" w:hAnsi="Times New Roman" w:cs="Times New Roman"/>
          <w: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Comment from RSPO, 23 December 2019, by email. </w:t>
      </w:r>
    </w:p>
  </w:footnote>
  <w:footnote w:id="69">
    <w:p w14:paraId="16F51F67" w14:textId="427B07D8"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Providing various rationales for confidentiality in international arbitration processes, but also arguing that they are times overstated see Cindy Galway Buys ‘The tensions between confidentiality and transparency in international arbitration’ (2003) </w:t>
      </w:r>
      <w:r>
        <w:rPr>
          <w:rFonts w:ascii="Times New Roman" w:hAnsi="Times New Roman" w:cs="Times New Roman"/>
        </w:rPr>
        <w:t xml:space="preserve">14 </w:t>
      </w:r>
      <w:r w:rsidRPr="00EE31F2">
        <w:rPr>
          <w:rFonts w:ascii="Times New Roman" w:hAnsi="Times New Roman" w:cs="Times New Roman"/>
          <w:i/>
          <w:iCs/>
        </w:rPr>
        <w:t>American Review of International Arbitration</w:t>
      </w:r>
      <w:r w:rsidRPr="00EE31F2">
        <w:rPr>
          <w:rFonts w:ascii="Times New Roman" w:hAnsi="Times New Roman" w:cs="Times New Roman"/>
        </w:rPr>
        <w:t> 121.</w:t>
      </w:r>
    </w:p>
  </w:footnote>
  <w:footnote w:id="70">
    <w:p w14:paraId="43A99335" w14:textId="06A1B69C"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Interview of international NGO, 27 August 2019. Interview of local NGO, 24 June 2019. Interview of International NGO, 27 September 2019. Email exchange with International NGO 1, 19 August 2019. Interview with International NGO 23 July 2019.  </w:t>
      </w:r>
    </w:p>
  </w:footnote>
  <w:footnote w:id="71">
    <w:p w14:paraId="188F21E4" w14:textId="17B08F07"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The only cases in which  rightsholders were interviewed directly to obtain this information was in the claim </w:t>
      </w:r>
      <w:r w:rsidRPr="001659DC">
        <w:rPr>
          <w:rFonts w:ascii="Times New Roman" w:hAnsi="Times New Roman" w:cs="Times New Roman"/>
          <w:i/>
        </w:rPr>
        <w:t>Sustainable Development Institute v. Equatorial Palm Oil</w:t>
      </w:r>
      <w:r w:rsidRPr="00EE31F2">
        <w:rPr>
          <w:rFonts w:ascii="Times New Roman" w:hAnsi="Times New Roman" w:cs="Times New Roman"/>
        </w:rPr>
        <w:t xml:space="preserve"> (a subsidiary of Kuala Lumpur Kepong Berhad), described in detail below, and in the claim </w:t>
      </w:r>
      <w:r w:rsidRPr="001659DC">
        <w:rPr>
          <w:rFonts w:ascii="Times New Roman" w:hAnsi="Times New Roman" w:cs="Times New Roman"/>
          <w:i/>
        </w:rPr>
        <w:t xml:space="preserve">Zebilon </w:t>
      </w:r>
      <w:proofErr w:type="spellStart"/>
      <w:r w:rsidRPr="001659DC">
        <w:rPr>
          <w:rFonts w:ascii="Times New Roman" w:hAnsi="Times New Roman" w:cs="Times New Roman"/>
          <w:i/>
        </w:rPr>
        <w:t>Siligen</w:t>
      </w:r>
      <w:proofErr w:type="spellEnd"/>
      <w:r w:rsidRPr="001659DC">
        <w:rPr>
          <w:rFonts w:ascii="Times New Roman" w:hAnsi="Times New Roman" w:cs="Times New Roman"/>
          <w:i/>
        </w:rPr>
        <w:t xml:space="preserve"> v. New Britain Palm Oil</w:t>
      </w:r>
      <w:r w:rsidRPr="00EE31F2">
        <w:rPr>
          <w:rFonts w:ascii="Times New Roman" w:hAnsi="Times New Roman" w:cs="Times New Roman"/>
        </w:rPr>
        <w:t xml:space="preserve">, filed 15 August 2015: </w:t>
      </w:r>
      <w:hyperlink r:id="rId38" w:history="1">
        <w:r w:rsidRPr="00EE31F2">
          <w:rPr>
            <w:rStyle w:val="Hyperlink"/>
            <w:rFonts w:ascii="Times New Roman" w:hAnsi="Times New Roman" w:cs="Times New Roman"/>
          </w:rPr>
          <w:t>https://askrspo.force.com/Complaint/s/case/50090000028Es0xAAC/</w:t>
        </w:r>
      </w:hyperlink>
      <w:r w:rsidRPr="00EE31F2">
        <w:rPr>
          <w:rFonts w:ascii="Times New Roman" w:hAnsi="Times New Roman" w:cs="Times New Roman"/>
          <w:color w:val="0000FF"/>
          <w:u w:val="single"/>
        </w:rPr>
        <w:t xml:space="preserve"> (accessed 3 August 2020).</w:t>
      </w:r>
    </w:p>
  </w:footnote>
  <w:footnote w:id="72">
    <w:p w14:paraId="733D7ACC" w14:textId="77777777" w:rsidR="00786C6E" w:rsidRDefault="00786C6E" w:rsidP="001659DC">
      <w:pPr>
        <w:pStyle w:val="FootnoteText"/>
        <w:spacing w:line="360" w:lineRule="auto"/>
      </w:pPr>
      <w:r>
        <w:rPr>
          <w:rStyle w:val="FootnoteReference"/>
        </w:rPr>
        <w:footnoteRef/>
      </w:r>
      <w:r>
        <w:t xml:space="preserve"> Six of the interviews were conducted by phone. Four of the interviewees were interviewed both on the phone and in person. Two interviews were conducted entirely by email. </w:t>
      </w:r>
    </w:p>
  </w:footnote>
  <w:footnote w:id="73">
    <w:p w14:paraId="47F24EA0" w14:textId="38B8839D" w:rsidR="00786C6E" w:rsidRPr="001659DC" w:rsidRDefault="00786C6E" w:rsidP="00B177B9">
      <w:pPr>
        <w:pStyle w:val="FootnoteText"/>
        <w:spacing w:line="360" w:lineRule="auto"/>
        <w:rPr>
          <w:rFonts w:ascii="Times New Roman" w:hAnsi="Times New Roman" w:cs="Times New Roman"/>
          <w:b/>
          <w:bCs/>
          <w:lang w:val="en-GB"/>
        </w:rPr>
      </w:pPr>
      <w:r>
        <w:rPr>
          <w:rStyle w:val="FootnoteReference"/>
        </w:rPr>
        <w:footnoteRef/>
      </w:r>
      <w:r>
        <w:t xml:space="preserve"> </w:t>
      </w:r>
      <w:r w:rsidRPr="001659DC">
        <w:rPr>
          <w:rFonts w:ascii="Times New Roman" w:hAnsi="Times New Roman" w:cs="Times New Roman"/>
        </w:rPr>
        <w:t>Of course, new events have</w:t>
      </w:r>
      <w:r w:rsidRPr="003F6868">
        <w:rPr>
          <w:rFonts w:ascii="Times New Roman" w:hAnsi="Times New Roman" w:cs="Times New Roman"/>
        </w:rPr>
        <w:t xml:space="preserve"> </w:t>
      </w:r>
      <w:r w:rsidRPr="00922CC0">
        <w:rPr>
          <w:rFonts w:ascii="Times New Roman" w:hAnsi="Times New Roman" w:cs="Times New Roman"/>
        </w:rPr>
        <w:t xml:space="preserve">occurred in these cases after we finished our review and before publication. One particularly notable claim </w:t>
      </w:r>
      <w:r>
        <w:rPr>
          <w:rFonts w:ascii="Times New Roman" w:hAnsi="Times New Roman" w:cs="Times New Roman"/>
        </w:rPr>
        <w:t xml:space="preserve">which </w:t>
      </w:r>
      <w:r w:rsidRPr="00922CC0">
        <w:rPr>
          <w:rFonts w:ascii="Times New Roman" w:hAnsi="Times New Roman" w:cs="Times New Roman"/>
        </w:rPr>
        <w:t xml:space="preserve">had been open and “under investigation” for eight years, was the subject of </w:t>
      </w:r>
      <w:proofErr w:type="gramStart"/>
      <w:r w:rsidRPr="00922CC0">
        <w:rPr>
          <w:rFonts w:ascii="Times New Roman" w:hAnsi="Times New Roman" w:cs="Times New Roman"/>
        </w:rPr>
        <w:t>a</w:t>
      </w:r>
      <w:proofErr w:type="gramEnd"/>
      <w:r w:rsidRPr="00922CC0">
        <w:rPr>
          <w:rFonts w:ascii="Times New Roman" w:hAnsi="Times New Roman" w:cs="Times New Roman"/>
        </w:rPr>
        <w:t xml:space="preserve"> </w:t>
      </w:r>
      <w:r w:rsidRPr="003F6868">
        <w:rPr>
          <w:rFonts w:ascii="Times New Roman" w:hAnsi="Times New Roman" w:cs="Times New Roman"/>
        </w:rPr>
        <w:t xml:space="preserve">OECD Swiss National Contact Point specific instance against RSPO itself. It is reported to have resulted in a settlement. </w:t>
      </w:r>
      <w:r>
        <w:rPr>
          <w:rFonts w:ascii="Times New Roman" w:hAnsi="Times New Roman" w:cs="Times New Roman"/>
        </w:rPr>
        <w:t xml:space="preserve">(OECD, </w:t>
      </w:r>
      <w:r w:rsidRPr="00B177B9">
        <w:rPr>
          <w:rFonts w:ascii="Times New Roman" w:hAnsi="Times New Roman" w:cs="Times New Roman"/>
        </w:rPr>
        <w:t>Roundtable for Sustainable Palm Oil and TUK Indonesia: Land Conflict in Indonesia</w:t>
      </w:r>
      <w:r>
        <w:rPr>
          <w:rFonts w:ascii="Times New Roman" w:hAnsi="Times New Roman" w:cs="Times New Roman"/>
        </w:rPr>
        <w:t xml:space="preserve"> (no date) </w:t>
      </w:r>
      <w:hyperlink r:id="rId39" w:history="1">
        <w:r w:rsidRPr="00922CC0">
          <w:rPr>
            <w:rStyle w:val="Hyperlink"/>
            <w:rFonts w:ascii="Times New Roman" w:hAnsi="Times New Roman" w:cs="Times New Roman"/>
          </w:rPr>
          <w:t>http://mneguidelines.oecd.org/database/instances/ch0017.htm</w:t>
        </w:r>
      </w:hyperlink>
      <w:r>
        <w:rPr>
          <w:rFonts w:ascii="Times New Roman" w:hAnsi="Times New Roman" w:cs="Times New Roman"/>
        </w:rPr>
        <w:t xml:space="preserve"> (accessed on 20 November 2020)</w:t>
      </w:r>
      <w:r w:rsidRPr="003F6868">
        <w:rPr>
          <w:rFonts w:ascii="Times New Roman" w:hAnsi="Times New Roman" w:cs="Times New Roman"/>
        </w:rPr>
        <w:t>, although the RSPO claim</w:t>
      </w:r>
      <w:r w:rsidRPr="00922CC0">
        <w:rPr>
          <w:rFonts w:ascii="Times New Roman" w:hAnsi="Times New Roman" w:cs="Times New Roman"/>
        </w:rPr>
        <w:t xml:space="preserve"> is not yet closed</w:t>
      </w:r>
      <w:r>
        <w:rPr>
          <w:rFonts w:ascii="Times New Roman" w:hAnsi="Times New Roman" w:cs="Times New Roman"/>
        </w:rPr>
        <w:t xml:space="preserve"> as of November 2020</w:t>
      </w:r>
      <w:r w:rsidRPr="00922CC0">
        <w:rPr>
          <w:rFonts w:ascii="Times New Roman" w:hAnsi="Times New Roman" w:cs="Times New Roman"/>
        </w:rPr>
        <w:t xml:space="preserve">. </w:t>
      </w:r>
      <w:proofErr w:type="gramStart"/>
      <w:r>
        <w:rPr>
          <w:rFonts w:ascii="Times New Roman" w:hAnsi="Times New Roman" w:cs="Times New Roman"/>
        </w:rPr>
        <w:t xml:space="preserve">( </w:t>
      </w:r>
      <w:r w:rsidRPr="001659DC">
        <w:rPr>
          <w:rFonts w:ascii="Times New Roman" w:hAnsi="Times New Roman" w:cs="Times New Roman"/>
          <w:bCs/>
          <w:i/>
          <w:lang w:val="en-GB"/>
        </w:rPr>
        <w:t>PT</w:t>
      </w:r>
      <w:proofErr w:type="gramEnd"/>
      <w:r w:rsidRPr="001659DC">
        <w:rPr>
          <w:rFonts w:ascii="Times New Roman" w:hAnsi="Times New Roman" w:cs="Times New Roman"/>
          <w:bCs/>
          <w:i/>
          <w:lang w:val="en-GB"/>
        </w:rPr>
        <w:t xml:space="preserve"> Mitra Austral Sejahtera (a subsidiary of Sime Darby Plantation Berhad </w:t>
      </w:r>
      <w:r w:rsidRPr="001659DC">
        <w:rPr>
          <w:rFonts w:ascii="Times New Roman" w:hAnsi="Times New Roman" w:cs="Times New Roman"/>
          <w:b/>
          <w:bCs/>
          <w:i/>
          <w:lang w:val="en-GB"/>
        </w:rPr>
        <w:t xml:space="preserve">v </w:t>
      </w:r>
      <w:r w:rsidRPr="001659DC">
        <w:rPr>
          <w:rFonts w:ascii="Times New Roman" w:hAnsi="Times New Roman" w:cs="Times New Roman"/>
          <w:i/>
          <w:lang w:val="en-GB"/>
        </w:rPr>
        <w:t xml:space="preserve">The communities of </w:t>
      </w:r>
      <w:proofErr w:type="spellStart"/>
      <w:r w:rsidRPr="001659DC">
        <w:rPr>
          <w:rFonts w:ascii="Times New Roman" w:hAnsi="Times New Roman" w:cs="Times New Roman"/>
          <w:i/>
          <w:lang w:val="en-GB"/>
        </w:rPr>
        <w:t>Sanggau</w:t>
      </w:r>
      <w:proofErr w:type="spellEnd"/>
      <w:r w:rsidRPr="001659DC">
        <w:rPr>
          <w:rFonts w:ascii="Times New Roman" w:hAnsi="Times New Roman" w:cs="Times New Roman"/>
          <w:i/>
          <w:lang w:val="en-GB"/>
        </w:rPr>
        <w:t xml:space="preserve"> (</w:t>
      </w:r>
      <w:proofErr w:type="spellStart"/>
      <w:r w:rsidRPr="001659DC">
        <w:rPr>
          <w:rFonts w:ascii="Times New Roman" w:hAnsi="Times New Roman" w:cs="Times New Roman"/>
          <w:i/>
          <w:lang w:val="en-GB"/>
        </w:rPr>
        <w:t>Kerunang</w:t>
      </w:r>
      <w:proofErr w:type="spellEnd"/>
      <w:r w:rsidRPr="001659DC">
        <w:rPr>
          <w:rFonts w:ascii="Times New Roman" w:hAnsi="Times New Roman" w:cs="Times New Roman"/>
          <w:i/>
          <w:lang w:val="en-GB"/>
        </w:rPr>
        <w:t xml:space="preserve"> &amp; </w:t>
      </w:r>
      <w:proofErr w:type="spellStart"/>
      <w:r w:rsidRPr="001659DC">
        <w:rPr>
          <w:rFonts w:ascii="Times New Roman" w:hAnsi="Times New Roman" w:cs="Times New Roman"/>
          <w:i/>
          <w:lang w:val="en-GB"/>
        </w:rPr>
        <w:t>Entapang</w:t>
      </w:r>
      <w:proofErr w:type="spellEnd"/>
      <w:r w:rsidRPr="001659DC">
        <w:rPr>
          <w:rFonts w:ascii="Times New Roman" w:hAnsi="Times New Roman" w:cs="Times New Roman"/>
          <w:i/>
          <w:lang w:val="en-GB"/>
        </w:rPr>
        <w:t xml:space="preserve">), </w:t>
      </w:r>
      <w:proofErr w:type="spellStart"/>
      <w:r w:rsidRPr="001659DC">
        <w:rPr>
          <w:rFonts w:ascii="Times New Roman" w:hAnsi="Times New Roman" w:cs="Times New Roman"/>
          <w:i/>
          <w:lang w:val="en-GB"/>
        </w:rPr>
        <w:t>Transparansi</w:t>
      </w:r>
      <w:proofErr w:type="spellEnd"/>
      <w:r w:rsidRPr="001659DC">
        <w:rPr>
          <w:rFonts w:ascii="Times New Roman" w:hAnsi="Times New Roman" w:cs="Times New Roman"/>
          <w:i/>
          <w:lang w:val="en-GB"/>
        </w:rPr>
        <w:t xml:space="preserve"> </w:t>
      </w:r>
      <w:proofErr w:type="spellStart"/>
      <w:r w:rsidRPr="001659DC">
        <w:rPr>
          <w:rFonts w:ascii="Times New Roman" w:hAnsi="Times New Roman" w:cs="Times New Roman"/>
          <w:i/>
          <w:lang w:val="en-GB"/>
        </w:rPr>
        <w:t>untuk</w:t>
      </w:r>
      <w:proofErr w:type="spellEnd"/>
      <w:r w:rsidRPr="001659DC">
        <w:rPr>
          <w:rFonts w:ascii="Times New Roman" w:hAnsi="Times New Roman" w:cs="Times New Roman"/>
          <w:i/>
          <w:lang w:val="en-GB"/>
        </w:rPr>
        <w:t xml:space="preserve"> </w:t>
      </w:r>
      <w:proofErr w:type="spellStart"/>
      <w:r w:rsidRPr="001659DC">
        <w:rPr>
          <w:rFonts w:ascii="Times New Roman" w:hAnsi="Times New Roman" w:cs="Times New Roman"/>
          <w:i/>
          <w:lang w:val="en-GB"/>
        </w:rPr>
        <w:t>Keadilan</w:t>
      </w:r>
      <w:proofErr w:type="spellEnd"/>
      <w:r w:rsidRPr="001659DC">
        <w:rPr>
          <w:rFonts w:ascii="Times New Roman" w:hAnsi="Times New Roman" w:cs="Times New Roman"/>
          <w:i/>
          <w:lang w:val="en-GB"/>
        </w:rPr>
        <w:t xml:space="preserve"> (</w:t>
      </w:r>
      <w:proofErr w:type="spellStart"/>
      <w:r w:rsidRPr="001659DC">
        <w:rPr>
          <w:rFonts w:ascii="Times New Roman" w:hAnsi="Times New Roman" w:cs="Times New Roman"/>
          <w:i/>
          <w:lang w:val="en-GB"/>
        </w:rPr>
        <w:t>TuK</w:t>
      </w:r>
      <w:proofErr w:type="spellEnd"/>
      <w:r w:rsidRPr="001659DC">
        <w:rPr>
          <w:rFonts w:ascii="Times New Roman" w:hAnsi="Times New Roman" w:cs="Times New Roman"/>
          <w:i/>
          <w:lang w:val="en-GB"/>
        </w:rPr>
        <w:t>)</w:t>
      </w:r>
      <w:r>
        <w:rPr>
          <w:rFonts w:ascii="Times New Roman" w:hAnsi="Times New Roman" w:cs="Times New Roman"/>
          <w:i/>
          <w:lang w:val="en-GB"/>
        </w:rPr>
        <w:t xml:space="preserve"> </w:t>
      </w:r>
      <w:r>
        <w:rPr>
          <w:rFonts w:ascii="Times New Roman" w:hAnsi="Times New Roman" w:cs="Times New Roman"/>
          <w:lang w:val="en-GB"/>
        </w:rPr>
        <w:t xml:space="preserve">(no date) </w:t>
      </w:r>
    </w:p>
    <w:p w14:paraId="07082162" w14:textId="22CBE21E" w:rsidR="00786C6E" w:rsidRDefault="00786C6E" w:rsidP="001659DC">
      <w:pPr>
        <w:pStyle w:val="FootnoteText"/>
        <w:spacing w:line="360" w:lineRule="auto"/>
      </w:pPr>
      <w:r w:rsidRPr="00B177B9">
        <w:rPr>
          <w:rFonts w:ascii="Times New Roman" w:hAnsi="Times New Roman" w:cs="Times New Roman"/>
        </w:rPr>
        <w:t xml:space="preserve"> </w:t>
      </w:r>
      <w:r w:rsidRPr="00922CC0">
        <w:rPr>
          <w:rFonts w:ascii="Times New Roman" w:hAnsi="Times New Roman" w:cs="Times New Roman"/>
        </w:rPr>
        <w:t>https://askrspo.force.com/Complaint/s/case/50090000028ErzsAAC/detail</w:t>
      </w:r>
      <w:r>
        <w:t xml:space="preserve"> (accessed 20 </w:t>
      </w:r>
      <w:proofErr w:type="spellStart"/>
      <w:r>
        <w:t>Novemner</w:t>
      </w:r>
      <w:proofErr w:type="spellEnd"/>
      <w:r>
        <w:t xml:space="preserve"> 2020). </w:t>
      </w:r>
    </w:p>
  </w:footnote>
  <w:footnote w:id="74">
    <w:p w14:paraId="12D52636" w14:textId="2726A996"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w:t>
      </w:r>
      <w:r>
        <w:rPr>
          <w:rFonts w:ascii="Times New Roman" w:hAnsi="Times New Roman" w:cs="Times New Roman"/>
        </w:rPr>
        <w:t xml:space="preserve"> website</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Principles and Criteria for the Production of Sustainable Palm Oil</w:t>
      </w:r>
      <w:r>
        <w:rPr>
          <w:rFonts w:ascii="Times New Roman" w:hAnsi="Times New Roman" w:cs="Times New Roman"/>
        </w:rPr>
        <w:t>’</w:t>
      </w:r>
      <w:r w:rsidRPr="00EE31F2">
        <w:rPr>
          <w:rFonts w:ascii="Times New Roman" w:hAnsi="Times New Roman" w:cs="Times New Roman"/>
        </w:rPr>
        <w:t xml:space="preserve"> (2018) </w:t>
      </w:r>
      <w:hyperlink r:id="rId40" w:history="1">
        <w:r w:rsidRPr="006A3B66">
          <w:rPr>
            <w:rStyle w:val="Hyperlink"/>
            <w:rFonts w:ascii="Times New Roman" w:hAnsi="Times New Roman"/>
          </w:rPr>
          <w:t>https://rspo.org/resources/certification/rspo-principles-criteria-certification</w:t>
        </w:r>
      </w:hyperlink>
      <w:r w:rsidRPr="00EE31F2">
        <w:rPr>
          <w:rFonts w:ascii="Times New Roman" w:hAnsi="Times New Roman" w:cs="Times New Roman"/>
        </w:rPr>
        <w:t xml:space="preserve"> (accessed 2 April 2020), 35, Criteria 4.4: ‘Use of the land for oil palm does not diminish the legal, customary or user rights of other users without their Free, Prior and Informed Consent.’ </w:t>
      </w:r>
    </w:p>
  </w:footnote>
  <w:footnote w:id="75">
    <w:p w14:paraId="59A9C0B3" w14:textId="7EBFDCF3"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For example, in a case in Peru, the RSPO ruling was used in a land proceeding before the Constitutional Court and to support a requested criminal investigation. Interview of international NGO, 27 August 2019 by telecommunication; In person interview of local NGO, 28 November 2019, Geneva, Switzerland. The Liberian NGOs used the RSPO rulings extensively in their media presence. See, e.g. Carolyn Ziv, ‘Power of the People: How a Liberian Clan Took on an International Palm Oil Company—and won’ </w:t>
      </w:r>
      <w:r w:rsidRPr="00EE31F2">
        <w:rPr>
          <w:rFonts w:ascii="Times New Roman" w:hAnsi="Times New Roman" w:cs="Times New Roman"/>
          <w:i/>
        </w:rPr>
        <w:t>American Jewish World Service</w:t>
      </w:r>
      <w:r w:rsidRPr="00EE31F2">
        <w:rPr>
          <w:rFonts w:ascii="Times New Roman" w:hAnsi="Times New Roman" w:cs="Times New Roman"/>
        </w:rPr>
        <w:t xml:space="preserve"> (22 August, 2016) </w:t>
      </w:r>
      <w:hyperlink r:id="rId41" w:history="1">
        <w:r w:rsidRPr="00EE31F2">
          <w:rPr>
            <w:rStyle w:val="Hyperlink"/>
            <w:rFonts w:ascii="Times New Roman" w:hAnsi="Times New Roman" w:cs="Times New Roman"/>
          </w:rPr>
          <w:t>https://ajws.org/blog/power-people-liberian-clan-took-international-palm-oil-company-won/</w:t>
        </w:r>
      </w:hyperlink>
      <w:r w:rsidRPr="00EE31F2">
        <w:rPr>
          <w:rFonts w:ascii="Times New Roman" w:hAnsi="Times New Roman" w:cs="Times New Roman"/>
        </w:rPr>
        <w:t xml:space="preserve"> (accessed on 2 April 2020). </w:t>
      </w:r>
    </w:p>
    <w:p w14:paraId="67EB73EB" w14:textId="77777777" w:rsidR="00786C6E" w:rsidRPr="00EE31F2" w:rsidRDefault="00786C6E" w:rsidP="001659DC">
      <w:pPr>
        <w:pStyle w:val="FootnoteText"/>
        <w:spacing w:line="360" w:lineRule="auto"/>
        <w:rPr>
          <w:rFonts w:ascii="Times New Roman" w:hAnsi="Times New Roman" w:cs="Times New Roman"/>
        </w:rPr>
      </w:pPr>
    </w:p>
  </w:footnote>
  <w:footnote w:id="76">
    <w:p w14:paraId="3681FB7E" w14:textId="41FC4819"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pt-BR"/>
        </w:rPr>
        <w:t>RSPO Case (no reference)</w:t>
      </w:r>
      <w:r w:rsidRPr="00EE31F2">
        <w:rPr>
          <w:rFonts w:ascii="Times New Roman" w:hAnsi="Times New Roman" w:cs="Times New Roman"/>
          <w:b/>
        </w:rPr>
        <w:t xml:space="preserve"> </w:t>
      </w:r>
      <w:hyperlink r:id="rId42" w:history="1">
        <w:r w:rsidRPr="00EE31F2">
          <w:rPr>
            <w:rStyle w:val="Hyperlink"/>
            <w:rFonts w:ascii="Times New Roman" w:hAnsi="Times New Roman" w:cs="Times New Roman"/>
          </w:rPr>
          <w:t>https://askrspo.force.com/Complaint/s/case/</w:t>
        </w:r>
        <w:bookmarkStart w:id="17" w:name="_Hlt36827738"/>
        <w:bookmarkStart w:id="18" w:name="_Hlt36827739"/>
        <w:r w:rsidRPr="00EE31F2">
          <w:rPr>
            <w:rStyle w:val="Hyperlink"/>
            <w:rFonts w:ascii="Times New Roman" w:hAnsi="Times New Roman" w:cs="Times New Roman"/>
          </w:rPr>
          <w:t>5</w:t>
        </w:r>
        <w:bookmarkEnd w:id="17"/>
        <w:bookmarkEnd w:id="18"/>
        <w:r w:rsidRPr="00EE31F2">
          <w:rPr>
            <w:rStyle w:val="Hyperlink"/>
            <w:rFonts w:ascii="Times New Roman" w:hAnsi="Times New Roman" w:cs="Times New Roman"/>
          </w:rPr>
          <w:t>0090000028Erz4AAC/</w:t>
        </w:r>
      </w:hyperlink>
      <w:r w:rsidRPr="00EE31F2">
        <w:rPr>
          <w:rFonts w:ascii="Times New Roman" w:hAnsi="Times New Roman" w:cs="Times New Roman"/>
        </w:rPr>
        <w:t xml:space="preserve"> (accessed 2 April 2020). </w:t>
      </w:r>
    </w:p>
  </w:footnote>
  <w:footnote w:id="77">
    <w:p w14:paraId="0FC01508" w14:textId="52861F4B"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Letter from Perpetua George, General Manager, Group Sustainability, Wilmar International Limited (30 November 2017). </w:t>
      </w:r>
      <w:hyperlink r:id="rId43" w:anchor="90000000YoJi/a/90000000PXdi/a.y_0q50Q00Lhdyqlm89nZD88NZjbnaQUL96JQYWV4Y" w:history="1">
        <w:r w:rsidRPr="00EE31F2">
          <w:rPr>
            <w:rStyle w:val="Hyperlink"/>
            <w:rFonts w:ascii="Times New Roman" w:hAnsi="Times New Roman" w:cs="Times New Roman"/>
          </w:rPr>
          <w:t>https://ap8.salesfor</w:t>
        </w:r>
        <w:bookmarkStart w:id="19" w:name="_Hlt36827814"/>
        <w:bookmarkStart w:id="20" w:name="_Hlt36827815"/>
        <w:r w:rsidRPr="00EE31F2">
          <w:rPr>
            <w:rStyle w:val="Hyperlink"/>
            <w:rFonts w:ascii="Times New Roman" w:hAnsi="Times New Roman" w:cs="Times New Roman"/>
          </w:rPr>
          <w:t>c</w:t>
        </w:r>
        <w:bookmarkEnd w:id="19"/>
        <w:bookmarkEnd w:id="20"/>
        <w:r w:rsidRPr="00EE31F2">
          <w:rPr>
            <w:rStyle w:val="Hyperlink"/>
            <w:rFonts w:ascii="Times New Roman" w:hAnsi="Times New Roman" w:cs="Times New Roman"/>
          </w:rPr>
          <w:t>e.com/sfc/p/#90000000YoJi/a/90000000PXdi/a.y_0q50Q00Lhdyqlm89nZD88NZjbnaQUL96JQYWV4Y</w:t>
        </w:r>
      </w:hyperlink>
      <w:r w:rsidRPr="00EE31F2">
        <w:rPr>
          <w:rStyle w:val="Hyperlink"/>
          <w:rFonts w:ascii="Times New Roman" w:hAnsi="Times New Roman" w:cs="Times New Roman"/>
        </w:rPr>
        <w:t xml:space="preserve"> </w:t>
      </w:r>
      <w:r w:rsidRPr="00EE31F2">
        <w:rPr>
          <w:rFonts w:ascii="Times New Roman" w:hAnsi="Times New Roman" w:cs="Times New Roman"/>
        </w:rPr>
        <w:t>(accessed 2 April 2020).</w:t>
      </w:r>
    </w:p>
  </w:footnote>
  <w:footnote w:id="78">
    <w:p w14:paraId="55B431CF" w14:textId="1D304202"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b/>
        </w:rPr>
        <w:footnoteRef/>
      </w:r>
      <w:bookmarkStart w:id="21" w:name="_Hlk36023168"/>
      <w:r w:rsidRPr="00EE31F2">
        <w:rPr>
          <w:rFonts w:ascii="Times New Roman" w:hAnsi="Times New Roman" w:cs="Times New Roman"/>
          <w:b/>
        </w:rPr>
        <w:t xml:space="preserve"> </w:t>
      </w:r>
      <w:r w:rsidRPr="00EE31F2">
        <w:rPr>
          <w:rFonts w:ascii="Times New Roman" w:hAnsi="Times New Roman" w:cs="Times New Roman"/>
          <w:bCs/>
        </w:rPr>
        <w:t>RSPO claims file,</w:t>
      </w:r>
      <w:bookmarkEnd w:id="21"/>
      <w:r w:rsidRPr="00EE31F2">
        <w:rPr>
          <w:rFonts w:ascii="Times New Roman" w:hAnsi="Times New Roman" w:cs="Times New Roman"/>
          <w:bCs/>
        </w:rPr>
        <w:t xml:space="preserve"> note 67; Interview of international NGO, 2 August 2019, by written communication.</w:t>
      </w:r>
      <w:r w:rsidRPr="00EE31F2">
        <w:rPr>
          <w:rFonts w:ascii="Times New Roman" w:hAnsi="Times New Roman" w:cs="Times New Roman"/>
          <w:b/>
        </w:rPr>
        <w:t xml:space="preserve"> </w:t>
      </w:r>
    </w:p>
  </w:footnote>
  <w:footnote w:id="79">
    <w:p w14:paraId="73A3A812" w14:textId="0CACB20C"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lang w:val="pt-BR"/>
        </w:rPr>
        <w:t xml:space="preserve"> RSPO Reference No. </w:t>
      </w:r>
      <w:r w:rsidRPr="00EE31F2">
        <w:rPr>
          <w:rFonts w:ascii="Times New Roman" w:hAnsi="Times New Roman" w:cs="Times New Roman"/>
          <w:lang w:val="pt-BR"/>
        </w:rPr>
        <w:t xml:space="preserve">PreCAP/2012/09/PR, </w:t>
      </w:r>
      <w:hyperlink r:id="rId44" w:history="1">
        <w:r w:rsidRPr="00EE31F2">
          <w:rPr>
            <w:rStyle w:val="Hyperlink"/>
            <w:rFonts w:ascii="Times New Roman" w:hAnsi="Times New Roman" w:cs="Times New Roman"/>
            <w:lang w:val="pt-BR"/>
          </w:rPr>
          <w:t>https://askrspo.force.com/Complaint/s/cas</w:t>
        </w:r>
        <w:bookmarkStart w:id="22" w:name="_Hlt36828068"/>
        <w:bookmarkStart w:id="23" w:name="_Hlt36828069"/>
        <w:r w:rsidRPr="00EE31F2">
          <w:rPr>
            <w:rStyle w:val="Hyperlink"/>
            <w:rFonts w:ascii="Times New Roman" w:hAnsi="Times New Roman" w:cs="Times New Roman"/>
            <w:lang w:val="pt-BR"/>
          </w:rPr>
          <w:t>e</w:t>
        </w:r>
        <w:bookmarkEnd w:id="22"/>
        <w:bookmarkEnd w:id="23"/>
        <w:r w:rsidRPr="00EE31F2">
          <w:rPr>
            <w:rStyle w:val="Hyperlink"/>
            <w:rFonts w:ascii="Times New Roman" w:hAnsi="Times New Roman" w:cs="Times New Roman"/>
            <w:lang w:val="pt-BR"/>
          </w:rPr>
          <w:t>/50090000028ErzuAAC/</w:t>
        </w:r>
      </w:hyperlink>
      <w:r w:rsidRPr="00EE31F2">
        <w:rPr>
          <w:rFonts w:ascii="Times New Roman" w:hAnsi="Times New Roman" w:cs="Times New Roman"/>
          <w:lang w:val="pt-BR"/>
        </w:rPr>
        <w:t xml:space="preserve"> (accessed 2 April 2020). </w:t>
      </w:r>
      <w:r w:rsidRPr="00EE31F2">
        <w:rPr>
          <w:rFonts w:ascii="Times New Roman" w:hAnsi="Times New Roman" w:cs="Times New Roman"/>
        </w:rPr>
        <w:t xml:space="preserve">It was consolidated with other RSPO claims regarding GVL’s actions in Liberia. Alfred Brownell of Green Advocates was awarded the 2019 Goldman Environmental Prize (the “world’s foremost award honoring grassroots environmental activists”) for his work on this case. See the Goldman Environmental Prize, </w:t>
      </w:r>
      <w:r w:rsidRPr="00EE31F2">
        <w:rPr>
          <w:rFonts w:ascii="Times New Roman" w:hAnsi="Times New Roman" w:cs="Times New Roman"/>
          <w:lang w:val="en-GB"/>
        </w:rPr>
        <w:t>Alfred Brownell 2019 Goldman Prize Recipient, Africa (no date)</w:t>
      </w:r>
      <w:r w:rsidRPr="00EE31F2">
        <w:rPr>
          <w:rFonts w:ascii="Times New Roman" w:hAnsi="Times New Roman" w:cs="Times New Roman"/>
        </w:rPr>
        <w:t xml:space="preserve"> </w:t>
      </w:r>
      <w:hyperlink r:id="rId45" w:history="1">
        <w:r w:rsidRPr="00EE31F2">
          <w:rPr>
            <w:rStyle w:val="Hyperlink"/>
            <w:rFonts w:ascii="Times New Roman" w:hAnsi="Times New Roman" w:cs="Times New Roman"/>
          </w:rPr>
          <w:t>https://www.goldmanprize.org/recipient/alfr</w:t>
        </w:r>
        <w:bookmarkStart w:id="24" w:name="_Hlt36828098"/>
        <w:bookmarkStart w:id="25" w:name="_Hlt36828099"/>
        <w:r w:rsidRPr="00EE31F2">
          <w:rPr>
            <w:rStyle w:val="Hyperlink"/>
            <w:rFonts w:ascii="Times New Roman" w:hAnsi="Times New Roman" w:cs="Times New Roman"/>
          </w:rPr>
          <w:t>e</w:t>
        </w:r>
        <w:bookmarkEnd w:id="24"/>
        <w:bookmarkEnd w:id="25"/>
        <w:r w:rsidRPr="00EE31F2">
          <w:rPr>
            <w:rStyle w:val="Hyperlink"/>
            <w:rFonts w:ascii="Times New Roman" w:hAnsi="Times New Roman" w:cs="Times New Roman"/>
          </w:rPr>
          <w:t>d-brownell/</w:t>
        </w:r>
      </w:hyperlink>
      <w:r w:rsidRPr="00EE31F2">
        <w:rPr>
          <w:rStyle w:val="Hyperlink"/>
          <w:rFonts w:ascii="Times New Roman" w:hAnsi="Times New Roman" w:cs="Times New Roman"/>
        </w:rPr>
        <w:t xml:space="preserve"> </w:t>
      </w:r>
      <w:r w:rsidRPr="00EE31F2">
        <w:rPr>
          <w:rFonts w:ascii="Times New Roman" w:hAnsi="Times New Roman" w:cs="Times New Roman"/>
          <w:lang w:val="pt-BR"/>
        </w:rPr>
        <w:t>(accessed 2 April 2020).</w:t>
      </w:r>
    </w:p>
  </w:footnote>
  <w:footnote w:id="80">
    <w:p w14:paraId="669915C2" w14:textId="56331516"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sidRPr="00EE31F2">
        <w:rPr>
          <w:rFonts w:ascii="Times New Roman" w:hAnsi="Times New Roman" w:cs="Times New Roman"/>
          <w:bCs/>
        </w:rPr>
        <w:t>RSPO claims file, note 70; Interview of company management, February 14, 2020, Monrovia, Liberia.</w:t>
      </w:r>
      <w:r w:rsidRPr="00EE31F2">
        <w:rPr>
          <w:rFonts w:ascii="Times New Roman" w:hAnsi="Times New Roman" w:cs="Times New Roman"/>
          <w:b/>
        </w:rPr>
        <w:t xml:space="preserve"> </w:t>
      </w:r>
    </w:p>
  </w:footnote>
  <w:footnote w:id="81">
    <w:p w14:paraId="4B785CAE" w14:textId="681B88E8"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b/>
        </w:rPr>
        <w:footnoteRef/>
      </w:r>
      <w:r w:rsidRPr="00EE31F2">
        <w:rPr>
          <w:rFonts w:ascii="Times New Roman" w:hAnsi="Times New Roman" w:cs="Times New Roman"/>
          <w:bCs/>
          <w:lang w:val="en-GB"/>
        </w:rPr>
        <w:t xml:space="preserve"> RSPO claims file, note 70; Interview of national NGO, 6 February 2020, Monrovia, Liberia.</w:t>
      </w:r>
      <w:r w:rsidRPr="00EE31F2">
        <w:rPr>
          <w:rFonts w:ascii="Times New Roman" w:hAnsi="Times New Roman" w:cs="Times New Roman"/>
          <w:b/>
          <w:lang w:val="en-GB"/>
        </w:rPr>
        <w:t xml:space="preserve"> </w:t>
      </w:r>
    </w:p>
  </w:footnote>
  <w:footnote w:id="82">
    <w:p w14:paraId="0A748AA9" w14:textId="47F50A39" w:rsidR="00786C6E" w:rsidRPr="00EE31F2" w:rsidRDefault="00786C6E" w:rsidP="001659DC">
      <w:pPr>
        <w:pStyle w:val="FootnoteText"/>
        <w:spacing w:line="360" w:lineRule="auto"/>
        <w:rPr>
          <w:rFonts w:ascii="Times New Roman" w:hAnsi="Times New Roman" w:cs="Times New Roman"/>
          <w:b/>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sidRPr="00EE31F2">
        <w:rPr>
          <w:rFonts w:ascii="Times New Roman" w:hAnsi="Times New Roman" w:cs="Times New Roman"/>
          <w:bCs/>
          <w:lang w:val="en-GB"/>
        </w:rPr>
        <w:t>The violent protests were well documented in the press as well as personal interview with UN Peacekeeper Representative, 12 April 2016, near Greenville, Liberia. For the community frustration, Interview of national NGO, 6 February 2020, Monrovia, Liberia, Interview of addition national NGO, 7 February 2020, Monrovia, Liberia.</w:t>
      </w:r>
      <w:r w:rsidRPr="00EE31F2">
        <w:rPr>
          <w:rFonts w:ascii="Times New Roman" w:hAnsi="Times New Roman" w:cs="Times New Roman"/>
          <w:b/>
          <w:lang w:val="en-GB"/>
        </w:rPr>
        <w:t xml:space="preserve"> </w:t>
      </w:r>
    </w:p>
  </w:footnote>
  <w:footnote w:id="83">
    <w:p w14:paraId="50BED1FC" w14:textId="760D7F00" w:rsidR="00786C6E" w:rsidRPr="00EE31F2" w:rsidRDefault="00786C6E" w:rsidP="001659DC">
      <w:pPr>
        <w:pStyle w:val="FootnoteText"/>
        <w:spacing w:line="360" w:lineRule="auto"/>
        <w:rPr>
          <w:rFonts w:ascii="Times New Roman" w:hAnsi="Times New Roman" w:cs="Times New Roman"/>
          <w:bCs/>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sidRPr="00EE31F2">
        <w:rPr>
          <w:rFonts w:ascii="Times New Roman" w:hAnsi="Times New Roman" w:cs="Times New Roman"/>
          <w:bCs/>
        </w:rPr>
        <w:t>Interview of company management personnel, 14 February 2020, Monrovia, Liberia. Interview of national NGO, 6 February 2020, Monrovia, Liberia.</w:t>
      </w:r>
      <w:r w:rsidRPr="00EE31F2" w:rsidDel="00424011">
        <w:rPr>
          <w:rFonts w:ascii="Times New Roman" w:hAnsi="Times New Roman" w:cs="Times New Roman"/>
          <w:bCs/>
        </w:rPr>
        <w:t xml:space="preserve"> </w:t>
      </w:r>
    </w:p>
  </w:footnote>
  <w:footnote w:id="84">
    <w:p w14:paraId="7E7790E7" w14:textId="427AA530"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 Case (no reference) </w:t>
      </w:r>
      <w:hyperlink r:id="rId46" w:history="1">
        <w:r w:rsidRPr="00EE31F2">
          <w:rPr>
            <w:rStyle w:val="Hyperlink"/>
            <w:rFonts w:ascii="Times New Roman" w:hAnsi="Times New Roman" w:cs="Times New Roman"/>
          </w:rPr>
          <w:t>https://askrspo.force.com/Complaint/</w:t>
        </w:r>
        <w:bookmarkStart w:id="27" w:name="_Hlt36828275"/>
        <w:bookmarkStart w:id="28" w:name="_Hlt36828276"/>
        <w:r w:rsidRPr="00EE31F2">
          <w:rPr>
            <w:rStyle w:val="Hyperlink"/>
            <w:rFonts w:ascii="Times New Roman" w:hAnsi="Times New Roman" w:cs="Times New Roman"/>
          </w:rPr>
          <w:t>s</w:t>
        </w:r>
        <w:bookmarkEnd w:id="27"/>
        <w:bookmarkEnd w:id="28"/>
        <w:r w:rsidRPr="00EE31F2">
          <w:rPr>
            <w:rStyle w:val="Hyperlink"/>
            <w:rFonts w:ascii="Times New Roman" w:hAnsi="Times New Roman" w:cs="Times New Roman"/>
          </w:rPr>
          <w:t>/case/50090000028ErzcAAC/</w:t>
        </w:r>
      </w:hyperlink>
      <w:r w:rsidRPr="00EE31F2">
        <w:rPr>
          <w:rStyle w:val="Hyperlink"/>
          <w:rFonts w:ascii="Times New Roman" w:hAnsi="Times New Roman" w:cs="Times New Roman"/>
        </w:rPr>
        <w:t xml:space="preserve"> </w:t>
      </w:r>
      <w:r w:rsidRPr="00EE31F2">
        <w:rPr>
          <w:rFonts w:ascii="Times New Roman" w:hAnsi="Times New Roman" w:cs="Times New Roman"/>
          <w:lang w:val="pt-BR"/>
        </w:rPr>
        <w:t>(accessed 2 April 2020).</w:t>
      </w:r>
    </w:p>
  </w:footnote>
  <w:footnote w:id="85">
    <w:p w14:paraId="5B617D03" w14:textId="03601E41" w:rsidR="00786C6E" w:rsidRPr="00EE31F2" w:rsidRDefault="00786C6E" w:rsidP="001659DC">
      <w:pPr>
        <w:pStyle w:val="FootnoteText"/>
        <w:spacing w:line="360" w:lineRule="auto"/>
        <w:rPr>
          <w:rFonts w:ascii="Times New Roman" w:hAnsi="Times New Roman" w:cs="Times New Roman"/>
          <w:bCs/>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sidRPr="00EE31F2">
        <w:rPr>
          <w:rFonts w:ascii="Times New Roman" w:hAnsi="Times New Roman" w:cs="Times New Roman"/>
          <w:bCs/>
          <w:lang w:val="en-GB"/>
        </w:rPr>
        <w:t>RSPO claims file, note 75.</w:t>
      </w:r>
    </w:p>
  </w:footnote>
  <w:footnote w:id="86">
    <w:p w14:paraId="4BFEE607" w14:textId="43283B38"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Letter from Tom Johnson, Forest Campaigner, Environmental Investigation Agency (16 February 2015) </w:t>
      </w:r>
      <w:hyperlink r:id="rId47" w:anchor="90000000YoJi/a/90000000PYGa/bNBMlfqNIfIuF69cpDdfg0POa.CSnemqp5VmLozhciw" w:history="1">
        <w:r w:rsidRPr="00EE31F2">
          <w:rPr>
            <w:rStyle w:val="Hyperlink"/>
            <w:rFonts w:ascii="Times New Roman" w:hAnsi="Times New Roman" w:cs="Times New Roman"/>
          </w:rPr>
          <w:t>https://ap8.salesforce.com/sfc/p/#90000000YoJi/a/90000000PYGa/bNBMlfqNIfIuF69cpDdfg0POa.CSnemqp5VmLozhciw</w:t>
        </w:r>
      </w:hyperlink>
      <w:r w:rsidRPr="00EE31F2">
        <w:rPr>
          <w:rFonts w:ascii="Times New Roman" w:hAnsi="Times New Roman" w:cs="Times New Roman"/>
        </w:rPr>
        <w:t xml:space="preserve"> (accessed on 2 April 2020).  </w:t>
      </w:r>
    </w:p>
  </w:footnote>
  <w:footnote w:id="87">
    <w:p w14:paraId="0CCB7AFB" w14:textId="77777777"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Letter from Ravin Krishnan, Complaints Coordinator, RSPO, (3 November 2015) </w:t>
      </w:r>
      <w:hyperlink r:id="rId48" w:anchor="90000000YoJi/a/90000000PYFX/HBZm4qKmGHWit0jXpbARGNSwdG5h8agKAZxfbS2Rblk" w:history="1">
        <w:r w:rsidRPr="00EE31F2">
          <w:rPr>
            <w:rStyle w:val="Hyperlink"/>
            <w:rFonts w:ascii="Times New Roman" w:hAnsi="Times New Roman" w:cs="Times New Roman"/>
          </w:rPr>
          <w:t>https://ap8.salesforce.com/sfc/p/#90000000YoJi/a</w:t>
        </w:r>
        <w:bookmarkStart w:id="29" w:name="_Hlt36828675"/>
        <w:bookmarkStart w:id="30" w:name="_Hlt36828676"/>
        <w:r w:rsidRPr="00EE31F2">
          <w:rPr>
            <w:rStyle w:val="Hyperlink"/>
            <w:rFonts w:ascii="Times New Roman" w:hAnsi="Times New Roman" w:cs="Times New Roman"/>
          </w:rPr>
          <w:t>/</w:t>
        </w:r>
        <w:bookmarkEnd w:id="29"/>
        <w:bookmarkEnd w:id="30"/>
        <w:r w:rsidRPr="00EE31F2">
          <w:rPr>
            <w:rStyle w:val="Hyperlink"/>
            <w:rFonts w:ascii="Times New Roman" w:hAnsi="Times New Roman" w:cs="Times New Roman"/>
          </w:rPr>
          <w:t>90000000PYFX/HBZm4qKmGHWit0jXpbARGNSwdG5h8agKAZxfbS2Rblk</w:t>
        </w:r>
      </w:hyperlink>
      <w:r w:rsidRPr="00EE31F2">
        <w:rPr>
          <w:rStyle w:val="Hyperlink"/>
          <w:rFonts w:ascii="Times New Roman" w:hAnsi="Times New Roman" w:cs="Times New Roman"/>
        </w:rPr>
        <w:t xml:space="preserve"> </w:t>
      </w:r>
      <w:r w:rsidRPr="00EE31F2">
        <w:rPr>
          <w:rFonts w:ascii="Times New Roman" w:hAnsi="Times New Roman" w:cs="Times New Roman"/>
        </w:rPr>
        <w:t xml:space="preserve">(accessed on 2 April 2020).  </w:t>
      </w:r>
    </w:p>
  </w:footnote>
  <w:footnote w:id="88">
    <w:p w14:paraId="753999E4" w14:textId="1D7D19DA"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E</w:t>
      </w:r>
      <w:r>
        <w:rPr>
          <w:rFonts w:ascii="Times New Roman" w:hAnsi="Times New Roman" w:cs="Times New Roman"/>
        </w:rPr>
        <w:t xml:space="preserve">nvironmental </w:t>
      </w:r>
      <w:r w:rsidRPr="00EE31F2">
        <w:rPr>
          <w:rFonts w:ascii="Times New Roman" w:hAnsi="Times New Roman" w:cs="Times New Roman"/>
        </w:rPr>
        <w:t>I</w:t>
      </w:r>
      <w:r>
        <w:rPr>
          <w:rFonts w:ascii="Times New Roman" w:hAnsi="Times New Roman" w:cs="Times New Roman"/>
        </w:rPr>
        <w:t xml:space="preserve">nvestigation </w:t>
      </w:r>
      <w:r w:rsidRPr="00EE31F2">
        <w:rPr>
          <w:rFonts w:ascii="Times New Roman" w:hAnsi="Times New Roman" w:cs="Times New Roman"/>
        </w:rPr>
        <w:t>A</w:t>
      </w:r>
      <w:r>
        <w:rPr>
          <w:rFonts w:ascii="Times New Roman" w:hAnsi="Times New Roman" w:cs="Times New Roman"/>
        </w:rPr>
        <w:t>gency</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Who Watches the Watchman II</w:t>
      </w:r>
      <w:r>
        <w:rPr>
          <w:rFonts w:ascii="Times New Roman" w:hAnsi="Times New Roman" w:cs="Times New Roman"/>
        </w:rPr>
        <w:t>’</w:t>
      </w:r>
      <w:r w:rsidRPr="00EE31F2">
        <w:rPr>
          <w:rFonts w:ascii="Times New Roman" w:hAnsi="Times New Roman" w:cs="Times New Roman"/>
        </w:rPr>
        <w:t xml:space="preserve"> (November 2019) </w:t>
      </w:r>
      <w:hyperlink r:id="rId49" w:history="1">
        <w:r w:rsidRPr="00EE31F2">
          <w:rPr>
            <w:rStyle w:val="Hyperlink"/>
            <w:rFonts w:ascii="Times New Roman" w:hAnsi="Times New Roman" w:cs="Times New Roman"/>
          </w:rPr>
          <w:t>https://eia-inter</w:t>
        </w:r>
        <w:bookmarkStart w:id="31" w:name="_Hlt36828882"/>
        <w:bookmarkStart w:id="32" w:name="_Hlt36828883"/>
        <w:r w:rsidRPr="00EE31F2">
          <w:rPr>
            <w:rStyle w:val="Hyperlink"/>
            <w:rFonts w:ascii="Times New Roman" w:hAnsi="Times New Roman" w:cs="Times New Roman"/>
          </w:rPr>
          <w:t>n</w:t>
        </w:r>
        <w:bookmarkEnd w:id="31"/>
        <w:bookmarkEnd w:id="32"/>
        <w:r w:rsidRPr="00EE31F2">
          <w:rPr>
            <w:rStyle w:val="Hyperlink"/>
            <w:rFonts w:ascii="Times New Roman" w:hAnsi="Times New Roman" w:cs="Times New Roman"/>
          </w:rPr>
          <w:t>ational.org/wp-content/uploads/WWtW2-spreads.pdf</w:t>
        </w:r>
      </w:hyperlink>
      <w:r w:rsidRPr="00EE31F2">
        <w:rPr>
          <w:rFonts w:ascii="Times New Roman" w:hAnsi="Times New Roman" w:cs="Times New Roman"/>
        </w:rPr>
        <w:t xml:space="preserve"> (accessed on 2 April 2020), 15.</w:t>
      </w:r>
    </w:p>
  </w:footnote>
  <w:footnote w:id="89">
    <w:p w14:paraId="6359847E" w14:textId="54AB51DB"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RSPO Case (no reference) </w:t>
      </w:r>
      <w:hyperlink r:id="rId50" w:history="1">
        <w:r w:rsidRPr="00EE31F2">
          <w:rPr>
            <w:rStyle w:val="Hyperlink"/>
            <w:rFonts w:ascii="Times New Roman" w:hAnsi="Times New Roman" w:cs="Times New Roman"/>
          </w:rPr>
          <w:t>https://askrspo.force.com/Complaint/s/case/50090000028Es0OAAS/</w:t>
        </w:r>
      </w:hyperlink>
      <w:r w:rsidRPr="00EE31F2">
        <w:rPr>
          <w:rStyle w:val="Hyperlink"/>
          <w:rFonts w:ascii="Times New Roman" w:hAnsi="Times New Roman" w:cs="Times New Roman"/>
        </w:rPr>
        <w:t xml:space="preserve"> </w:t>
      </w:r>
      <w:r w:rsidRPr="00EE31F2">
        <w:rPr>
          <w:rFonts w:ascii="Times New Roman" w:hAnsi="Times New Roman" w:cs="Times New Roman"/>
          <w:lang w:val="pt-BR"/>
        </w:rPr>
        <w:t>(accessed 2 April 2020).</w:t>
      </w:r>
    </w:p>
  </w:footnote>
  <w:footnote w:id="90">
    <w:p w14:paraId="587846F2" w14:textId="1055C815"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Carolyn Ziv, ‘</w:t>
      </w:r>
      <w:r w:rsidRPr="00EE31F2">
        <w:rPr>
          <w:rFonts w:ascii="Times New Roman" w:hAnsi="Times New Roman" w:cs="Times New Roman"/>
        </w:rPr>
        <w:t>Power of the People: How a Liberian Clan took on an International Palm Oil Company—and won</w:t>
      </w:r>
      <w:r>
        <w:rPr>
          <w:rFonts w:ascii="Times New Roman" w:hAnsi="Times New Roman" w:cs="Times New Roman"/>
        </w:rPr>
        <w:t>’,</w:t>
      </w:r>
      <w:r w:rsidRPr="00EE31F2">
        <w:rPr>
          <w:rFonts w:ascii="Times New Roman" w:hAnsi="Times New Roman" w:cs="Times New Roman"/>
        </w:rPr>
        <w:t xml:space="preserve"> Am</w:t>
      </w:r>
      <w:r w:rsidRPr="001659DC">
        <w:rPr>
          <w:rFonts w:ascii="Times New Roman" w:hAnsi="Times New Roman" w:cs="Times New Roman"/>
          <w:i/>
        </w:rPr>
        <w:t>erican Jewish World Service</w:t>
      </w:r>
      <w:r>
        <w:rPr>
          <w:rFonts w:ascii="Times New Roman" w:hAnsi="Times New Roman" w:cs="Times New Roman"/>
        </w:rPr>
        <w:t xml:space="preserve"> (</w:t>
      </w:r>
      <w:r w:rsidRPr="00EE31F2">
        <w:rPr>
          <w:rFonts w:ascii="Times New Roman" w:hAnsi="Times New Roman" w:cs="Times New Roman"/>
        </w:rPr>
        <w:t>11 August 2016</w:t>
      </w:r>
      <w:r>
        <w:rPr>
          <w:rFonts w:ascii="Times New Roman" w:hAnsi="Times New Roman" w:cs="Times New Roman"/>
        </w:rPr>
        <w:t>)</w:t>
      </w:r>
      <w:r w:rsidRPr="00EE31F2">
        <w:rPr>
          <w:rFonts w:ascii="Times New Roman" w:hAnsi="Times New Roman" w:cs="Times New Roman"/>
        </w:rPr>
        <w:t xml:space="preserve"> </w:t>
      </w:r>
      <w:hyperlink r:id="rId51" w:history="1">
        <w:r w:rsidRPr="00EE31F2">
          <w:rPr>
            <w:rFonts w:ascii="Times New Roman" w:hAnsi="Times New Roman" w:cs="Times New Roman"/>
            <w:color w:val="0000FF"/>
            <w:u w:val="single"/>
          </w:rPr>
          <w:t>https://ajws.org/blog/power-people-liberian-clan-took-international-palm-oil-company-won/</w:t>
        </w:r>
      </w:hyperlink>
      <w:r w:rsidRPr="00EE31F2">
        <w:rPr>
          <w:rFonts w:ascii="Times New Roman" w:hAnsi="Times New Roman" w:cs="Times New Roman"/>
        </w:rPr>
        <w:t xml:space="preserve"> (accessed 3 August 2020)</w:t>
      </w:r>
      <w:r>
        <w:rPr>
          <w:rFonts w:ascii="Times New Roman" w:hAnsi="Times New Roman" w:cs="Times New Roman"/>
        </w:rPr>
        <w:t>;</w:t>
      </w:r>
      <w:r w:rsidRPr="00EE31F2">
        <w:rPr>
          <w:rFonts w:ascii="Times New Roman" w:hAnsi="Times New Roman" w:cs="Times New Roman"/>
        </w:rPr>
        <w:t xml:space="preserve"> </w:t>
      </w:r>
      <w:r>
        <w:rPr>
          <w:rFonts w:ascii="Times New Roman" w:hAnsi="Times New Roman" w:cs="Times New Roman"/>
        </w:rPr>
        <w:t>Press Release, ‘</w:t>
      </w:r>
      <w:r w:rsidRPr="00EE31F2">
        <w:rPr>
          <w:rFonts w:ascii="Times New Roman" w:hAnsi="Times New Roman" w:cs="Times New Roman"/>
        </w:rPr>
        <w:t>Communities Protest that UK’s Equatorial Palm Oil is poised to seize land in Liberia</w:t>
      </w:r>
      <w:r>
        <w:rPr>
          <w:rFonts w:ascii="Times New Roman" w:hAnsi="Times New Roman" w:cs="Times New Roman"/>
        </w:rPr>
        <w:t>’</w:t>
      </w:r>
      <w:r w:rsidRPr="00EE31F2">
        <w:rPr>
          <w:rFonts w:ascii="Times New Roman" w:hAnsi="Times New Roman" w:cs="Times New Roman"/>
        </w:rPr>
        <w:t xml:space="preserve">, </w:t>
      </w:r>
      <w:r w:rsidRPr="001659DC">
        <w:rPr>
          <w:rFonts w:ascii="Times New Roman" w:hAnsi="Times New Roman" w:cs="Times New Roman"/>
          <w:i/>
        </w:rPr>
        <w:t>Global Witness</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24 June 2014</w:t>
      </w:r>
      <w:r>
        <w:rPr>
          <w:rFonts w:ascii="Times New Roman" w:hAnsi="Times New Roman" w:cs="Times New Roman"/>
        </w:rPr>
        <w:t>)</w:t>
      </w:r>
      <w:r w:rsidRPr="00EE31F2">
        <w:rPr>
          <w:rFonts w:ascii="Times New Roman" w:hAnsi="Times New Roman" w:cs="Times New Roman"/>
        </w:rPr>
        <w:t xml:space="preserve"> </w:t>
      </w:r>
      <w:hyperlink r:id="rId52" w:history="1">
        <w:r w:rsidRPr="00EE31F2">
          <w:rPr>
            <w:rStyle w:val="Hyperlink"/>
            <w:rFonts w:ascii="Times New Roman" w:hAnsi="Times New Roman" w:cs="Times New Roman"/>
          </w:rPr>
          <w:t>https://www.globalwitness.org/en/archive/communities-protest-uks-equatorial-palm-oil-poised-seize-land-liberia/</w:t>
        </w:r>
      </w:hyperlink>
      <w:r w:rsidRPr="00EE31F2">
        <w:rPr>
          <w:rFonts w:ascii="Times New Roman" w:hAnsi="Times New Roman" w:cs="Times New Roman"/>
        </w:rPr>
        <w:t xml:space="preserve"> (accessed 3 August 2020). This entire episode was repeatedly communicated in multiple interviews with community members, 9 May 2019, and 4 February 2020 near the Palm Bay Estate, Grand Bassa County Liberia.</w:t>
      </w:r>
    </w:p>
  </w:footnote>
  <w:footnote w:id="91">
    <w:p w14:paraId="68DF4E2B" w14:textId="10934330"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Copy of the Memorandum of Understanding on file with authors. We have also extensively interviewed clan members, the NGOs involved in the claim and company personnel regarding the formal resolution of the claim and the current state of the community land. </w:t>
      </w:r>
    </w:p>
  </w:footnote>
  <w:footnote w:id="92">
    <w:p w14:paraId="7F1AD36E" w14:textId="118EE42F"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b/>
        </w:rPr>
        <w:footnoteRef/>
      </w:r>
      <w:r w:rsidRPr="00EE31F2">
        <w:rPr>
          <w:rFonts w:ascii="Times New Roman" w:hAnsi="Times New Roman" w:cs="Times New Roman"/>
          <w:b/>
        </w:rPr>
        <w:t xml:space="preserve"> </w:t>
      </w:r>
      <w:r w:rsidRPr="00EE31F2">
        <w:rPr>
          <w:rFonts w:ascii="Times New Roman" w:hAnsi="Times New Roman" w:cs="Times New Roman"/>
          <w:lang w:val="en-GB"/>
        </w:rPr>
        <w:t xml:space="preserve">Multiple interviews with community members, 9 May 2019, and 4 February 2020 near the Palm Bay Estate, Grand Bassa County Liberia. Interview with local NGO, 5 February 2020, Buchanan, Liberia. </w:t>
      </w:r>
    </w:p>
  </w:footnote>
  <w:footnote w:id="93">
    <w:p w14:paraId="7964579B" w14:textId="1B5973AA"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Interviews with workers and community members, 5 February 2020, 9 May 2019. These allegations are denied by the company. Interview with company management personnel 4 February 2020, Palm Bay Estate, Grand Bassa County, and Buchanan, Liberia. </w:t>
      </w:r>
    </w:p>
  </w:footnote>
  <w:footnote w:id="94">
    <w:p w14:paraId="7106AE28" w14:textId="4534A3CE"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Interview of company management personnel, 4 February 2020, Palm Bay Estate, Grand Bassa County, and Buchanan, Liberia.  </w:t>
      </w:r>
      <w:r w:rsidRPr="00EE31F2">
        <w:rPr>
          <w:rFonts w:ascii="Times New Roman" w:hAnsi="Times New Roman" w:cs="Times New Roman"/>
          <w:b/>
        </w:rPr>
        <w:t xml:space="preserve"> </w:t>
      </w:r>
    </w:p>
  </w:footnote>
  <w:footnote w:id="95">
    <w:p w14:paraId="2903147E" w14:textId="7C853F6E" w:rsidR="00786C6E" w:rsidRPr="00EE31F2" w:rsidRDefault="00786C6E" w:rsidP="001659DC">
      <w:pPr>
        <w:pStyle w:val="FootnoteText"/>
        <w:spacing w:line="360" w:lineRule="auto"/>
        <w:rPr>
          <w:rFonts w:ascii="Times New Roman" w:hAnsi="Times New Roman" w:cs="Times New Roman"/>
          <w:bCs/>
        </w:rPr>
      </w:pPr>
      <w:r w:rsidRPr="00EE31F2">
        <w:rPr>
          <w:rStyle w:val="FootnoteReference"/>
          <w:rFonts w:ascii="Times New Roman" w:hAnsi="Times New Roman" w:cs="Times New Roman"/>
          <w:bCs/>
        </w:rPr>
        <w:footnoteRef/>
      </w:r>
      <w:r w:rsidRPr="00EE31F2">
        <w:rPr>
          <w:rFonts w:ascii="Times New Roman" w:hAnsi="Times New Roman" w:cs="Times New Roman"/>
          <w:bCs/>
        </w:rPr>
        <w:t xml:space="preserve"> Interviews of international NGO by telecommunication 29 July 2019 and in London, UK, 3 December 2019 (also noting its flaws). </w:t>
      </w:r>
      <w:bookmarkStart w:id="33" w:name="_Hlk36024283"/>
      <w:r w:rsidRPr="00EE31F2">
        <w:rPr>
          <w:rFonts w:ascii="Times New Roman" w:hAnsi="Times New Roman" w:cs="Times New Roman"/>
          <w:bCs/>
        </w:rPr>
        <w:t>Interview of local NGO, 23 July 2019, by telecommunication.</w:t>
      </w:r>
    </w:p>
    <w:bookmarkEnd w:id="33"/>
  </w:footnote>
  <w:footnote w:id="96">
    <w:p w14:paraId="3B7FB063" w14:textId="1790B0DD"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bCs/>
        </w:rPr>
        <w:t>Interview of international NGO 27 September 2019, by telecommunication.</w:t>
      </w:r>
    </w:p>
  </w:footnote>
  <w:footnote w:id="97">
    <w:p w14:paraId="2C9E9EAE" w14:textId="5B22DE9D"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Interview of local NGO, 23 July 2019, by telecommunication.</w:t>
      </w:r>
      <w:r w:rsidRPr="00EE31F2">
        <w:rPr>
          <w:rFonts w:ascii="Times New Roman" w:hAnsi="Times New Roman" w:cs="Times New Roman"/>
          <w:bCs/>
        </w:rPr>
        <w:t xml:space="preserve"> Interview of international NGO 27 September 2019, by telecommunication.</w:t>
      </w:r>
    </w:p>
  </w:footnote>
  <w:footnote w:id="98">
    <w:p w14:paraId="5C3A5572" w14:textId="73036EAE"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bCs/>
        </w:rPr>
        <w:t>Interview of international NGO 24 June 2019.</w:t>
      </w:r>
      <w:r w:rsidRPr="00EE31F2">
        <w:rPr>
          <w:rFonts w:ascii="Times New Roman" w:hAnsi="Times New Roman" w:cs="Times New Roman"/>
        </w:rPr>
        <w:t xml:space="preserve"> </w:t>
      </w:r>
      <w:r w:rsidRPr="00EE31F2">
        <w:rPr>
          <w:rFonts w:ascii="Times New Roman" w:hAnsi="Times New Roman" w:cs="Times New Roman"/>
          <w:bCs/>
        </w:rPr>
        <w:t>Interview of International NGO 27 August 2019 by telecommunication.</w:t>
      </w:r>
      <w:r w:rsidRPr="00EE31F2">
        <w:rPr>
          <w:rFonts w:ascii="Times New Roman" w:hAnsi="Times New Roman" w:cs="Times New Roman"/>
        </w:rPr>
        <w:t xml:space="preserve"> </w:t>
      </w:r>
      <w:r w:rsidRPr="00EE31F2">
        <w:rPr>
          <w:rFonts w:ascii="Times New Roman" w:hAnsi="Times New Roman" w:cs="Times New Roman"/>
          <w:bCs/>
        </w:rPr>
        <w:t xml:space="preserve">Interview of national NGO, 2 May 2019, outside of Monrovia, Liberia. Interview of national NGO, 5 February 2020, Monrovia, Liberia. </w:t>
      </w:r>
    </w:p>
  </w:footnote>
  <w:footnote w:id="99">
    <w:p w14:paraId="43CE4430" w14:textId="7D1F8034"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Interview of national NGO, 2 May 2019, outside of Monrovia, Liberia. Interview of national NGO, 5 February 2020, Monrovia, Liberia. Multiple interviews with community members, 9 May 2019, and 4 February 2020 near the Palm Bay Estate, Grand Bassa County Liberia. Interview of international NGO 24 June 2019. Interview of local NGO, 23 July 2019, by telecommunication. Interview of international NGO 27 September 2019, by telecommunication.</w:t>
      </w:r>
    </w:p>
  </w:footnote>
  <w:footnote w:id="100">
    <w:p w14:paraId="770F2987" w14:textId="65B9F4F5" w:rsidR="00786C6E" w:rsidRPr="00EE31F2" w:rsidRDefault="00786C6E" w:rsidP="001659DC">
      <w:pPr>
        <w:pStyle w:val="FootnoteText"/>
        <w:spacing w:line="360" w:lineRule="auto"/>
        <w:rPr>
          <w:rFonts w:ascii="Times New Roman" w:hAnsi="Times New Roman" w:cs="Times New Roman"/>
          <w:b/>
        </w:rPr>
      </w:pPr>
      <w:r w:rsidRPr="00EE31F2">
        <w:rPr>
          <w:rStyle w:val="FootnoteReference"/>
          <w:rFonts w:ascii="Times New Roman" w:hAnsi="Times New Roman" w:cs="Times New Roman"/>
          <w:bCs/>
        </w:rPr>
        <w:footnoteRef/>
      </w:r>
      <w:r w:rsidRPr="00EE31F2">
        <w:rPr>
          <w:rFonts w:ascii="Times New Roman" w:hAnsi="Times New Roman" w:cs="Times New Roman"/>
          <w:b/>
        </w:rPr>
        <w:t xml:space="preserve"> </w:t>
      </w:r>
      <w:r w:rsidRPr="00EE31F2">
        <w:rPr>
          <w:rFonts w:ascii="Times New Roman" w:hAnsi="Times New Roman" w:cs="Times New Roman"/>
          <w:bCs/>
        </w:rPr>
        <w:t>Interview of national NGO, 2 May 2019, outside of Monrovia, Liberia. Interview of national NGO, 5 February 2020, Monrovia, Liberia. Multiple interviews with community members, 9 May 2019, and 4 February 2020 near the Palm Bay Estate, Grand Bassa County Liberia.</w:t>
      </w:r>
    </w:p>
  </w:footnote>
  <w:footnote w:id="101">
    <w:p w14:paraId="59F64AEF" w14:textId="43475FEA"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proofErr w:type="spellStart"/>
      <w:r w:rsidRPr="00EE31F2">
        <w:rPr>
          <w:rFonts w:ascii="Times New Roman" w:hAnsi="Times New Roman" w:cs="Times New Roman"/>
        </w:rPr>
        <w:t>Martijn</w:t>
      </w:r>
      <w:proofErr w:type="spellEnd"/>
      <w:r w:rsidRPr="00EE31F2">
        <w:rPr>
          <w:rFonts w:ascii="Times New Roman" w:hAnsi="Times New Roman" w:cs="Times New Roman"/>
        </w:rPr>
        <w:t xml:space="preserve"> </w:t>
      </w:r>
      <w:proofErr w:type="spellStart"/>
      <w:proofErr w:type="gramStart"/>
      <w:r w:rsidRPr="00EE31F2">
        <w:rPr>
          <w:rFonts w:ascii="Times New Roman" w:hAnsi="Times New Roman" w:cs="Times New Roman"/>
        </w:rPr>
        <w:t>Scheltema,</w:t>
      </w:r>
      <w:r>
        <w:rPr>
          <w:rFonts w:ascii="Times New Roman" w:hAnsi="Times New Roman" w:cs="Times New Roman"/>
        </w:rPr>
        <w:t>note</w:t>
      </w:r>
      <w:proofErr w:type="spellEnd"/>
      <w:proofErr w:type="gramEnd"/>
      <w:r>
        <w:rPr>
          <w:rFonts w:ascii="Times New Roman" w:hAnsi="Times New Roman" w:cs="Times New Roman"/>
        </w:rPr>
        <w:t xml:space="preserve"> 28</w:t>
      </w:r>
      <w:r w:rsidRPr="00EE31F2">
        <w:rPr>
          <w:rFonts w:ascii="Times New Roman" w:hAnsi="Times New Roman" w:cs="Times New Roman"/>
        </w:rPr>
        <w:t xml:space="preserve">; </w:t>
      </w:r>
      <w:r>
        <w:rPr>
          <w:rFonts w:ascii="Times New Roman" w:hAnsi="Times New Roman" w:cs="Times New Roman"/>
        </w:rPr>
        <w:t xml:space="preserve">Miller-Dawkins, </w:t>
      </w:r>
      <w:r w:rsidRPr="00EE31F2">
        <w:rPr>
          <w:rFonts w:ascii="Times New Roman" w:hAnsi="Times New Roman" w:cs="Times New Roman"/>
        </w:rPr>
        <w:t>Macdonald</w:t>
      </w:r>
      <w:r>
        <w:rPr>
          <w:rFonts w:ascii="Times New Roman" w:hAnsi="Times New Roman" w:cs="Times New Roman"/>
        </w:rPr>
        <w:t xml:space="preserve"> and Marshall</w:t>
      </w:r>
      <w:r w:rsidRPr="00EE31F2">
        <w:rPr>
          <w:rFonts w:ascii="Times New Roman" w:hAnsi="Times New Roman" w:cs="Times New Roman"/>
        </w:rPr>
        <w:t>, n</w:t>
      </w:r>
      <w:r>
        <w:rPr>
          <w:rFonts w:ascii="Times New Roman" w:hAnsi="Times New Roman" w:cs="Times New Roman"/>
        </w:rPr>
        <w:t>ote</w:t>
      </w:r>
      <w:r w:rsidRPr="00EE31F2">
        <w:rPr>
          <w:rFonts w:ascii="Times New Roman" w:hAnsi="Times New Roman" w:cs="Times New Roman"/>
        </w:rPr>
        <w:t xml:space="preserve"> 2</w:t>
      </w:r>
      <w:r>
        <w:rPr>
          <w:rFonts w:ascii="Times New Roman" w:hAnsi="Times New Roman" w:cs="Times New Roman"/>
        </w:rPr>
        <w:t>8</w:t>
      </w:r>
    </w:p>
  </w:footnote>
  <w:footnote w:id="102">
    <w:p w14:paraId="06895D57" w14:textId="5C053A01"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sidRPr="00EE31F2">
        <w:rPr>
          <w:rFonts w:ascii="Times New Roman" w:hAnsi="Times New Roman" w:cs="Times New Roman"/>
          <w:lang w:val="en-GB"/>
        </w:rPr>
        <w:t>Ibid.</w:t>
      </w:r>
    </w:p>
  </w:footnote>
  <w:footnote w:id="103">
    <w:p w14:paraId="7B40E604" w14:textId="2437641C"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UN </w:t>
      </w:r>
      <w:r>
        <w:rPr>
          <w:rFonts w:ascii="Times New Roman" w:hAnsi="Times New Roman" w:cs="Times New Roman"/>
        </w:rPr>
        <w:t>General Assembly</w:t>
      </w:r>
      <w:r w:rsidRPr="00EE31F2">
        <w:rPr>
          <w:rFonts w:ascii="Times New Roman" w:hAnsi="Times New Roman" w:cs="Times New Roman"/>
        </w:rPr>
        <w:t xml:space="preserve">, </w:t>
      </w:r>
      <w:r>
        <w:rPr>
          <w:rFonts w:ascii="Times New Roman" w:hAnsi="Times New Roman" w:cs="Times New Roman"/>
        </w:rPr>
        <w:t xml:space="preserve">note 57, </w:t>
      </w:r>
      <w:r w:rsidRPr="00EE31F2">
        <w:rPr>
          <w:rFonts w:ascii="Times New Roman" w:hAnsi="Times New Roman" w:cs="Times New Roman"/>
        </w:rPr>
        <w:t xml:space="preserve">paragraphs 40, 43-54. </w:t>
      </w:r>
    </w:p>
  </w:footnote>
  <w:footnote w:id="104">
    <w:p w14:paraId="4CC75C6F" w14:textId="63983B77"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Making this point, see Haines and Macdonald, note 5; Miller-Dawkins and Macdonald, </w:t>
      </w:r>
      <w:r>
        <w:rPr>
          <w:rFonts w:ascii="Times New Roman" w:hAnsi="Times New Roman" w:cs="Times New Roman"/>
        </w:rPr>
        <w:t>note</w:t>
      </w:r>
      <w:r w:rsidRPr="00EE31F2">
        <w:rPr>
          <w:rFonts w:ascii="Times New Roman" w:hAnsi="Times New Roman" w:cs="Times New Roman"/>
        </w:rPr>
        <w:t xml:space="preserve"> 2</w:t>
      </w:r>
      <w:r>
        <w:rPr>
          <w:rFonts w:ascii="Times New Roman" w:hAnsi="Times New Roman" w:cs="Times New Roman"/>
        </w:rPr>
        <w:t>8</w:t>
      </w:r>
      <w:r w:rsidRPr="00EE31F2">
        <w:rPr>
          <w:rFonts w:ascii="Times New Roman" w:hAnsi="Times New Roman" w:cs="Times New Roman"/>
        </w:rPr>
        <w:t xml:space="preserve">. </w:t>
      </w:r>
    </w:p>
    <w:p w14:paraId="1731EF5C" w14:textId="77777777" w:rsidR="00786C6E" w:rsidRPr="00EE31F2" w:rsidRDefault="00786C6E" w:rsidP="001659DC">
      <w:pPr>
        <w:pStyle w:val="FootnoteText"/>
        <w:spacing w:line="360" w:lineRule="auto"/>
        <w:rPr>
          <w:rFonts w:ascii="Times New Roman" w:hAnsi="Times New Roman" w:cs="Times New Roman"/>
          <w:lang w:val="en-GB"/>
        </w:rPr>
      </w:pPr>
    </w:p>
  </w:footnote>
  <w:footnote w:id="105">
    <w:p w14:paraId="4766A761" w14:textId="622E2E8D"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Human Rights Council note 3, Principle 28</w:t>
      </w:r>
      <w:r w:rsidRPr="00EE31F2">
        <w:rPr>
          <w:rFonts w:ascii="Times New Roman" w:hAnsi="Times New Roman" w:cs="Times New Roman"/>
        </w:rPr>
        <w:t>.</w:t>
      </w:r>
    </w:p>
  </w:footnote>
  <w:footnote w:id="106">
    <w:p w14:paraId="4B8F859C" w14:textId="20BCCDC3"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lang w:val="en-GB"/>
        </w:rPr>
        <w:t>Human Rights Council</w:t>
      </w:r>
      <w:r w:rsidRPr="00EE31F2">
        <w:rPr>
          <w:rFonts w:ascii="Times New Roman" w:hAnsi="Times New Roman" w:cs="Times New Roman"/>
          <w:lang w:val="en-GB"/>
        </w:rPr>
        <w:t>, note 3, Principle 31.</w:t>
      </w:r>
    </w:p>
  </w:footnote>
  <w:footnote w:id="107">
    <w:p w14:paraId="74E76548" w14:textId="062E72F5"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UN </w:t>
      </w:r>
      <w:r>
        <w:rPr>
          <w:rFonts w:ascii="Times New Roman" w:hAnsi="Times New Roman" w:cs="Times New Roman"/>
        </w:rPr>
        <w:t>General Assembly</w:t>
      </w:r>
      <w:r w:rsidRPr="00EE31F2">
        <w:rPr>
          <w:rFonts w:ascii="Times New Roman" w:hAnsi="Times New Roman" w:cs="Times New Roman"/>
        </w:rPr>
        <w:t xml:space="preserve">, paragraph 22. </w:t>
      </w:r>
    </w:p>
  </w:footnote>
  <w:footnote w:id="108">
    <w:p w14:paraId="27DEE259" w14:textId="77777777" w:rsidR="00786C6E" w:rsidRPr="00EE31F2" w:rsidRDefault="00786C6E" w:rsidP="001659DC">
      <w:pPr>
        <w:pStyle w:val="FootnoteText"/>
        <w:spacing w:line="360" w:lineRule="auto"/>
        <w:rPr>
          <w:rFonts w:ascii="Times New Roman" w:hAnsi="Times New Roman" w:cs="Times New Roman"/>
          <w:lang w:val="en-GB"/>
        </w:rPr>
      </w:pPr>
      <w:r w:rsidRPr="00EE31F2">
        <w:rPr>
          <w:rStyle w:val="FootnoteReference"/>
          <w:rFonts w:ascii="Times New Roman" w:hAnsi="Times New Roman" w:cs="Times New Roman"/>
        </w:rPr>
        <w:footnoteRef/>
      </w:r>
      <w:r w:rsidRPr="00EE31F2">
        <w:rPr>
          <w:rFonts w:ascii="Times New Roman" w:hAnsi="Times New Roman" w:cs="Times New Roman"/>
        </w:rPr>
        <w:t xml:space="preserve"> As noted above in section III, RSPO is one of only 4 MSIs with complaints mechanisms which discloses information about the number and status of current and historic claims, publishes information about individual complaint decisions and conducts analysis of complaints received. </w:t>
      </w:r>
    </w:p>
  </w:footnote>
  <w:footnote w:id="109">
    <w:p w14:paraId="2C9E39EA" w14:textId="3EFCCE90"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w:t>
      </w:r>
      <w:r>
        <w:rPr>
          <w:rFonts w:ascii="Times New Roman" w:hAnsi="Times New Roman" w:cs="Times New Roman"/>
        </w:rPr>
        <w:t>International Commission of Jurists, ‘</w:t>
      </w:r>
      <w:r w:rsidRPr="00EE31F2">
        <w:rPr>
          <w:rFonts w:ascii="Times New Roman" w:hAnsi="Times New Roman" w:cs="Times New Roman"/>
        </w:rPr>
        <w:t>Effective Operational-level Grievance Mechanisms</w:t>
      </w:r>
      <w:r>
        <w:rPr>
          <w:rFonts w:ascii="Times New Roman" w:hAnsi="Times New Roman" w:cs="Times New Roman"/>
        </w:rPr>
        <w:t>’</w:t>
      </w:r>
      <w:r w:rsidRPr="00EE31F2">
        <w:rPr>
          <w:rFonts w:ascii="Times New Roman" w:hAnsi="Times New Roman" w:cs="Times New Roman"/>
        </w:rPr>
        <w:t xml:space="preserve">, </w:t>
      </w:r>
      <w:r>
        <w:rPr>
          <w:rFonts w:ascii="Times New Roman" w:hAnsi="Times New Roman" w:cs="Times New Roman"/>
        </w:rPr>
        <w:t>(</w:t>
      </w:r>
      <w:r w:rsidRPr="00EE31F2">
        <w:rPr>
          <w:rFonts w:ascii="Times New Roman" w:hAnsi="Times New Roman" w:cs="Times New Roman"/>
        </w:rPr>
        <w:t>2019</w:t>
      </w:r>
      <w:r>
        <w:rPr>
          <w:rFonts w:ascii="Times New Roman" w:hAnsi="Times New Roman" w:cs="Times New Roman"/>
        </w:rPr>
        <w:t>)</w:t>
      </w:r>
      <w:r w:rsidRPr="00EE31F2">
        <w:rPr>
          <w:rFonts w:ascii="Times New Roman" w:hAnsi="Times New Roman" w:cs="Times New Roman"/>
        </w:rPr>
        <w:t xml:space="preserve">, </w:t>
      </w:r>
      <w:hyperlink r:id="rId53" w:history="1">
        <w:r w:rsidRPr="00EE31F2">
          <w:rPr>
            <w:rFonts w:ascii="Times New Roman" w:hAnsi="Times New Roman" w:cs="Times New Roman"/>
            <w:color w:val="0000FF"/>
            <w:u w:val="single"/>
          </w:rPr>
          <w:t>https://www.icj.org/wp-content/uploads/2019/11/Universal-Grievance-Mechanisms-Publications-Reports-Thematic-reports-2019-ENG.pdf</w:t>
        </w:r>
      </w:hyperlink>
      <w:r w:rsidRPr="00EE31F2">
        <w:rPr>
          <w:rFonts w:ascii="Times New Roman" w:hAnsi="Times New Roman" w:cs="Times New Roman"/>
        </w:rPr>
        <w:t xml:space="preserve"> (accessed 3 August 2020).</w:t>
      </w:r>
    </w:p>
  </w:footnote>
  <w:footnote w:id="110">
    <w:p w14:paraId="5EAE3E60" w14:textId="5A408316" w:rsidR="00786C6E" w:rsidRPr="00EE31F2" w:rsidRDefault="00786C6E" w:rsidP="001659DC">
      <w:pPr>
        <w:pStyle w:val="FootnoteText"/>
        <w:spacing w:line="360" w:lineRule="auto"/>
        <w:rPr>
          <w:rFonts w:ascii="Times New Roman" w:hAnsi="Times New Roman" w:cs="Times New Roman"/>
        </w:rPr>
      </w:pPr>
      <w:r w:rsidRPr="00EE31F2">
        <w:rPr>
          <w:rStyle w:val="FootnoteReference"/>
          <w:rFonts w:ascii="Times New Roman" w:hAnsi="Times New Roman" w:cs="Times New Roman"/>
        </w:rPr>
        <w:footnoteRef/>
      </w:r>
      <w:r w:rsidRPr="00EE31F2">
        <w:rPr>
          <w:rFonts w:ascii="Times New Roman" w:hAnsi="Times New Roman" w:cs="Times New Roman"/>
        </w:rPr>
        <w:t xml:space="preserve"> This also comports with the conclusions of the broader study by the Non-Judicial Redress Mechanisms Project, in its summary work (Macdonald and Marshall, note 2</w:t>
      </w:r>
      <w:r>
        <w:rPr>
          <w:rFonts w:ascii="Times New Roman" w:hAnsi="Times New Roman" w:cs="Times New Roman"/>
        </w:rPr>
        <w:t>8</w:t>
      </w:r>
      <w:r w:rsidRPr="00EE31F2">
        <w:rPr>
          <w:rFonts w:ascii="Times New Roman" w:hAnsi="Times New Roman" w:cs="Times New Roman"/>
        </w:rPr>
        <w:t xml:space="preserve">, 6): “this research finds that it is possible to fulfil the UNGP effectiveness criteria in a formal way, yet still fall very short of delivering effective redress or remedy for human rights violations committed in the context of business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1F6" w14:textId="77777777" w:rsidR="00F26A50" w:rsidRDefault="00F2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348504"/>
      <w:docPartObj>
        <w:docPartGallery w:val="Watermarks"/>
        <w:docPartUnique/>
      </w:docPartObj>
    </w:sdtPr>
    <w:sdtContent>
      <w:p w14:paraId="1E4427AB" w14:textId="3FC4A0D1" w:rsidR="00F26A50" w:rsidRDefault="00F26A50">
        <w:pPr>
          <w:pStyle w:val="Header"/>
        </w:pPr>
        <w:r>
          <w:rPr>
            <w:noProof/>
          </w:rPr>
          <w:pict w14:anchorId="4195A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1142"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5D07" w14:textId="77777777" w:rsidR="00F26A50" w:rsidRDefault="00F2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2DB7"/>
    <w:multiLevelType w:val="hybridMultilevel"/>
    <w:tmpl w:val="E69A6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556C1B"/>
    <w:multiLevelType w:val="hybridMultilevel"/>
    <w:tmpl w:val="08E6D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AC7614"/>
    <w:multiLevelType w:val="hybridMultilevel"/>
    <w:tmpl w:val="6184A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845C3"/>
    <w:multiLevelType w:val="hybridMultilevel"/>
    <w:tmpl w:val="68D07906"/>
    <w:lvl w:ilvl="0" w:tplc="357C2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B7EC3"/>
    <w:multiLevelType w:val="hybridMultilevel"/>
    <w:tmpl w:val="CBC868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5B62D1"/>
    <w:multiLevelType w:val="hybridMultilevel"/>
    <w:tmpl w:val="8D4C360E"/>
    <w:lvl w:ilvl="0" w:tplc="881A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DF27C2"/>
    <w:multiLevelType w:val="hybridMultilevel"/>
    <w:tmpl w:val="35161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04DDA"/>
    <w:multiLevelType w:val="hybridMultilevel"/>
    <w:tmpl w:val="7C74E622"/>
    <w:lvl w:ilvl="0" w:tplc="53A8E3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513363">
    <w:abstractNumId w:val="7"/>
  </w:num>
  <w:num w:numId="2" w16cid:durableId="1715806098">
    <w:abstractNumId w:val="2"/>
  </w:num>
  <w:num w:numId="3" w16cid:durableId="1881085848">
    <w:abstractNumId w:val="1"/>
  </w:num>
  <w:num w:numId="4" w16cid:durableId="1964920636">
    <w:abstractNumId w:val="0"/>
  </w:num>
  <w:num w:numId="5" w16cid:durableId="712391581">
    <w:abstractNumId w:val="6"/>
  </w:num>
  <w:num w:numId="6" w16cid:durableId="1486311355">
    <w:abstractNumId w:val="3"/>
  </w:num>
  <w:num w:numId="7" w16cid:durableId="1881936443">
    <w:abstractNumId w:val="5"/>
  </w:num>
  <w:num w:numId="8" w16cid:durableId="116570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419"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419"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CO" w:vendorID="64" w:dllVersion="6" w:nlCheck="1" w:checkStyle="0"/>
  <w:activeWritingStyle w:appName="MSWord" w:lang="es-CO" w:vendorID="64" w:dllVersion="0" w:nlCheck="1" w:checkStyle="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CE"/>
    <w:rsid w:val="00000CD1"/>
    <w:rsid w:val="00002139"/>
    <w:rsid w:val="000023D0"/>
    <w:rsid w:val="000036D4"/>
    <w:rsid w:val="000060B1"/>
    <w:rsid w:val="00006BAA"/>
    <w:rsid w:val="0000708E"/>
    <w:rsid w:val="00007DBE"/>
    <w:rsid w:val="00010A11"/>
    <w:rsid w:val="00013516"/>
    <w:rsid w:val="00013C80"/>
    <w:rsid w:val="00013D43"/>
    <w:rsid w:val="000140E4"/>
    <w:rsid w:val="00014CA8"/>
    <w:rsid w:val="00014DCA"/>
    <w:rsid w:val="0001596E"/>
    <w:rsid w:val="00016A3B"/>
    <w:rsid w:val="00016E89"/>
    <w:rsid w:val="0001770C"/>
    <w:rsid w:val="00021974"/>
    <w:rsid w:val="0002630F"/>
    <w:rsid w:val="000274E4"/>
    <w:rsid w:val="00031111"/>
    <w:rsid w:val="00032F58"/>
    <w:rsid w:val="00037135"/>
    <w:rsid w:val="0003724A"/>
    <w:rsid w:val="000375E1"/>
    <w:rsid w:val="000375F9"/>
    <w:rsid w:val="000406B1"/>
    <w:rsid w:val="00040A75"/>
    <w:rsid w:val="000421F7"/>
    <w:rsid w:val="00044190"/>
    <w:rsid w:val="000446AA"/>
    <w:rsid w:val="000460F4"/>
    <w:rsid w:val="00046A15"/>
    <w:rsid w:val="00047520"/>
    <w:rsid w:val="000476DA"/>
    <w:rsid w:val="000519CE"/>
    <w:rsid w:val="00051BEC"/>
    <w:rsid w:val="00051C1D"/>
    <w:rsid w:val="00052803"/>
    <w:rsid w:val="000537D8"/>
    <w:rsid w:val="000554D2"/>
    <w:rsid w:val="00055AE4"/>
    <w:rsid w:val="00055F6D"/>
    <w:rsid w:val="000562FC"/>
    <w:rsid w:val="00057091"/>
    <w:rsid w:val="000618CF"/>
    <w:rsid w:val="00061D23"/>
    <w:rsid w:val="00062B0F"/>
    <w:rsid w:val="00063B60"/>
    <w:rsid w:val="000647D9"/>
    <w:rsid w:val="000651D8"/>
    <w:rsid w:val="000705EA"/>
    <w:rsid w:val="00071BD0"/>
    <w:rsid w:val="00072369"/>
    <w:rsid w:val="00073540"/>
    <w:rsid w:val="00074AFF"/>
    <w:rsid w:val="000756C4"/>
    <w:rsid w:val="000759C4"/>
    <w:rsid w:val="0007649E"/>
    <w:rsid w:val="00080BE9"/>
    <w:rsid w:val="000818B1"/>
    <w:rsid w:val="00082E06"/>
    <w:rsid w:val="00083DD3"/>
    <w:rsid w:val="000862BA"/>
    <w:rsid w:val="00087748"/>
    <w:rsid w:val="00090420"/>
    <w:rsid w:val="00090EED"/>
    <w:rsid w:val="00091168"/>
    <w:rsid w:val="00092AE1"/>
    <w:rsid w:val="00095407"/>
    <w:rsid w:val="00095627"/>
    <w:rsid w:val="0009582B"/>
    <w:rsid w:val="00095FBC"/>
    <w:rsid w:val="0009627B"/>
    <w:rsid w:val="00097BFA"/>
    <w:rsid w:val="00097EA8"/>
    <w:rsid w:val="000A1861"/>
    <w:rsid w:val="000A23D6"/>
    <w:rsid w:val="000A3AF7"/>
    <w:rsid w:val="000A3E01"/>
    <w:rsid w:val="000A3E60"/>
    <w:rsid w:val="000A3E97"/>
    <w:rsid w:val="000A4B10"/>
    <w:rsid w:val="000A5C3F"/>
    <w:rsid w:val="000A6C9E"/>
    <w:rsid w:val="000B01C1"/>
    <w:rsid w:val="000B0703"/>
    <w:rsid w:val="000B152D"/>
    <w:rsid w:val="000B25C6"/>
    <w:rsid w:val="000B3270"/>
    <w:rsid w:val="000B4155"/>
    <w:rsid w:val="000B47D7"/>
    <w:rsid w:val="000B5CF6"/>
    <w:rsid w:val="000B766D"/>
    <w:rsid w:val="000B7B78"/>
    <w:rsid w:val="000C13B8"/>
    <w:rsid w:val="000C23F5"/>
    <w:rsid w:val="000C24A8"/>
    <w:rsid w:val="000C3A8D"/>
    <w:rsid w:val="000C3D4E"/>
    <w:rsid w:val="000C3F81"/>
    <w:rsid w:val="000C63EB"/>
    <w:rsid w:val="000C6CB1"/>
    <w:rsid w:val="000C6E7B"/>
    <w:rsid w:val="000C7EF1"/>
    <w:rsid w:val="000C7F97"/>
    <w:rsid w:val="000D2853"/>
    <w:rsid w:val="000D3187"/>
    <w:rsid w:val="000D5AB6"/>
    <w:rsid w:val="000D6CF7"/>
    <w:rsid w:val="000D7B35"/>
    <w:rsid w:val="000E4826"/>
    <w:rsid w:val="000F0D65"/>
    <w:rsid w:val="000F0E4D"/>
    <w:rsid w:val="000F0EB2"/>
    <w:rsid w:val="000F2FBC"/>
    <w:rsid w:val="000F469C"/>
    <w:rsid w:val="000F4E7C"/>
    <w:rsid w:val="000F6D4B"/>
    <w:rsid w:val="00100059"/>
    <w:rsid w:val="001007FB"/>
    <w:rsid w:val="00101A6C"/>
    <w:rsid w:val="001021AC"/>
    <w:rsid w:val="00102C69"/>
    <w:rsid w:val="00104301"/>
    <w:rsid w:val="00107464"/>
    <w:rsid w:val="00107DBF"/>
    <w:rsid w:val="00110844"/>
    <w:rsid w:val="00111EBE"/>
    <w:rsid w:val="0011232F"/>
    <w:rsid w:val="00112FAD"/>
    <w:rsid w:val="00114D9D"/>
    <w:rsid w:val="001162C5"/>
    <w:rsid w:val="0011651D"/>
    <w:rsid w:val="00117B0F"/>
    <w:rsid w:val="001200D8"/>
    <w:rsid w:val="001206FA"/>
    <w:rsid w:val="001209BB"/>
    <w:rsid w:val="001212BE"/>
    <w:rsid w:val="0012289A"/>
    <w:rsid w:val="001228E4"/>
    <w:rsid w:val="00123B09"/>
    <w:rsid w:val="00123B77"/>
    <w:rsid w:val="00125397"/>
    <w:rsid w:val="00126D35"/>
    <w:rsid w:val="00127262"/>
    <w:rsid w:val="00131B1C"/>
    <w:rsid w:val="00132673"/>
    <w:rsid w:val="00133F93"/>
    <w:rsid w:val="001342BE"/>
    <w:rsid w:val="00134E49"/>
    <w:rsid w:val="001362FA"/>
    <w:rsid w:val="00137388"/>
    <w:rsid w:val="00137FB1"/>
    <w:rsid w:val="00141FDE"/>
    <w:rsid w:val="00142400"/>
    <w:rsid w:val="00143EA5"/>
    <w:rsid w:val="00145963"/>
    <w:rsid w:val="00146E43"/>
    <w:rsid w:val="00153B82"/>
    <w:rsid w:val="00154BAB"/>
    <w:rsid w:val="00155D9A"/>
    <w:rsid w:val="00155FA7"/>
    <w:rsid w:val="00161607"/>
    <w:rsid w:val="00161970"/>
    <w:rsid w:val="00161AFD"/>
    <w:rsid w:val="00162483"/>
    <w:rsid w:val="00163775"/>
    <w:rsid w:val="00163B71"/>
    <w:rsid w:val="001647BF"/>
    <w:rsid w:val="00164DCB"/>
    <w:rsid w:val="001659DC"/>
    <w:rsid w:val="00165AE3"/>
    <w:rsid w:val="00165ECE"/>
    <w:rsid w:val="001675E0"/>
    <w:rsid w:val="0017109A"/>
    <w:rsid w:val="00173852"/>
    <w:rsid w:val="00173A4A"/>
    <w:rsid w:val="001757A8"/>
    <w:rsid w:val="00176494"/>
    <w:rsid w:val="0017665F"/>
    <w:rsid w:val="00180452"/>
    <w:rsid w:val="00180A33"/>
    <w:rsid w:val="00181251"/>
    <w:rsid w:val="00183E45"/>
    <w:rsid w:val="00184E70"/>
    <w:rsid w:val="001860F7"/>
    <w:rsid w:val="001879AF"/>
    <w:rsid w:val="00191988"/>
    <w:rsid w:val="00191C27"/>
    <w:rsid w:val="0019216A"/>
    <w:rsid w:val="0019669C"/>
    <w:rsid w:val="001967D3"/>
    <w:rsid w:val="001A15E4"/>
    <w:rsid w:val="001A303E"/>
    <w:rsid w:val="001A30E7"/>
    <w:rsid w:val="001A34E2"/>
    <w:rsid w:val="001A6490"/>
    <w:rsid w:val="001B0C21"/>
    <w:rsid w:val="001B1949"/>
    <w:rsid w:val="001B31F8"/>
    <w:rsid w:val="001B33AF"/>
    <w:rsid w:val="001B3B57"/>
    <w:rsid w:val="001B5B6B"/>
    <w:rsid w:val="001B5E3D"/>
    <w:rsid w:val="001C0812"/>
    <w:rsid w:val="001C0975"/>
    <w:rsid w:val="001C1441"/>
    <w:rsid w:val="001C5294"/>
    <w:rsid w:val="001C57E4"/>
    <w:rsid w:val="001C6A5E"/>
    <w:rsid w:val="001D0BD1"/>
    <w:rsid w:val="001D25CC"/>
    <w:rsid w:val="001D3664"/>
    <w:rsid w:val="001D3F61"/>
    <w:rsid w:val="001D41F8"/>
    <w:rsid w:val="001D4243"/>
    <w:rsid w:val="001D5038"/>
    <w:rsid w:val="001D54F3"/>
    <w:rsid w:val="001D59E9"/>
    <w:rsid w:val="001D67E6"/>
    <w:rsid w:val="001D6D84"/>
    <w:rsid w:val="001D7697"/>
    <w:rsid w:val="001D7BAD"/>
    <w:rsid w:val="001D7F07"/>
    <w:rsid w:val="001E0DC1"/>
    <w:rsid w:val="001E3A78"/>
    <w:rsid w:val="001E5F6D"/>
    <w:rsid w:val="001E6383"/>
    <w:rsid w:val="001E779B"/>
    <w:rsid w:val="001E7DB2"/>
    <w:rsid w:val="001F09AB"/>
    <w:rsid w:val="001F0DA6"/>
    <w:rsid w:val="001F3787"/>
    <w:rsid w:val="001F388F"/>
    <w:rsid w:val="001F3FC2"/>
    <w:rsid w:val="001F4A5E"/>
    <w:rsid w:val="001F571E"/>
    <w:rsid w:val="001F5A0B"/>
    <w:rsid w:val="001F63CB"/>
    <w:rsid w:val="001F6F54"/>
    <w:rsid w:val="001F7922"/>
    <w:rsid w:val="00200D53"/>
    <w:rsid w:val="00204D6F"/>
    <w:rsid w:val="00207605"/>
    <w:rsid w:val="0021008E"/>
    <w:rsid w:val="00210ED6"/>
    <w:rsid w:val="0021156B"/>
    <w:rsid w:val="002117F7"/>
    <w:rsid w:val="00212C9D"/>
    <w:rsid w:val="00213629"/>
    <w:rsid w:val="0021525A"/>
    <w:rsid w:val="002154A7"/>
    <w:rsid w:val="00215BC0"/>
    <w:rsid w:val="00215F79"/>
    <w:rsid w:val="002236B4"/>
    <w:rsid w:val="00224D3A"/>
    <w:rsid w:val="00224E5E"/>
    <w:rsid w:val="0022693C"/>
    <w:rsid w:val="002276D7"/>
    <w:rsid w:val="00227861"/>
    <w:rsid w:val="00227C7F"/>
    <w:rsid w:val="00227E3F"/>
    <w:rsid w:val="00227EA7"/>
    <w:rsid w:val="00231267"/>
    <w:rsid w:val="00235115"/>
    <w:rsid w:val="00235573"/>
    <w:rsid w:val="00235E06"/>
    <w:rsid w:val="00236442"/>
    <w:rsid w:val="00240AB3"/>
    <w:rsid w:val="00240FB0"/>
    <w:rsid w:val="00241D96"/>
    <w:rsid w:val="00242EAA"/>
    <w:rsid w:val="0024344B"/>
    <w:rsid w:val="00243831"/>
    <w:rsid w:val="002447BF"/>
    <w:rsid w:val="00246BFF"/>
    <w:rsid w:val="00251403"/>
    <w:rsid w:val="00251731"/>
    <w:rsid w:val="00252F06"/>
    <w:rsid w:val="00256151"/>
    <w:rsid w:val="00257566"/>
    <w:rsid w:val="00260A96"/>
    <w:rsid w:val="00261041"/>
    <w:rsid w:val="0026479E"/>
    <w:rsid w:val="002650C3"/>
    <w:rsid w:val="0026535C"/>
    <w:rsid w:val="00267E70"/>
    <w:rsid w:val="0027030A"/>
    <w:rsid w:val="00270F91"/>
    <w:rsid w:val="00272B91"/>
    <w:rsid w:val="00272CE7"/>
    <w:rsid w:val="00273F10"/>
    <w:rsid w:val="00277F97"/>
    <w:rsid w:val="00281150"/>
    <w:rsid w:val="00284840"/>
    <w:rsid w:val="002860F5"/>
    <w:rsid w:val="002865D2"/>
    <w:rsid w:val="0029013D"/>
    <w:rsid w:val="002912F7"/>
    <w:rsid w:val="00294211"/>
    <w:rsid w:val="00294299"/>
    <w:rsid w:val="0029545C"/>
    <w:rsid w:val="00296951"/>
    <w:rsid w:val="002973DB"/>
    <w:rsid w:val="0029790E"/>
    <w:rsid w:val="002A18B3"/>
    <w:rsid w:val="002A2152"/>
    <w:rsid w:val="002A5E96"/>
    <w:rsid w:val="002B1D3C"/>
    <w:rsid w:val="002B4624"/>
    <w:rsid w:val="002B48D7"/>
    <w:rsid w:val="002B48DC"/>
    <w:rsid w:val="002B72C9"/>
    <w:rsid w:val="002C0A33"/>
    <w:rsid w:val="002C0DB3"/>
    <w:rsid w:val="002C200F"/>
    <w:rsid w:val="002C20D8"/>
    <w:rsid w:val="002C3D1F"/>
    <w:rsid w:val="002C496F"/>
    <w:rsid w:val="002C4E65"/>
    <w:rsid w:val="002C742D"/>
    <w:rsid w:val="002C7B38"/>
    <w:rsid w:val="002C7CD0"/>
    <w:rsid w:val="002D20FF"/>
    <w:rsid w:val="002D3480"/>
    <w:rsid w:val="002D3FF2"/>
    <w:rsid w:val="002D5030"/>
    <w:rsid w:val="002D5173"/>
    <w:rsid w:val="002D5444"/>
    <w:rsid w:val="002D661E"/>
    <w:rsid w:val="002D7801"/>
    <w:rsid w:val="002D7BBA"/>
    <w:rsid w:val="002E0151"/>
    <w:rsid w:val="002E01B2"/>
    <w:rsid w:val="002E0F7E"/>
    <w:rsid w:val="002E15AB"/>
    <w:rsid w:val="002E3FE1"/>
    <w:rsid w:val="002E60A6"/>
    <w:rsid w:val="002E6323"/>
    <w:rsid w:val="002E6A99"/>
    <w:rsid w:val="002E6B27"/>
    <w:rsid w:val="002F09FC"/>
    <w:rsid w:val="002F1A4C"/>
    <w:rsid w:val="002F23B0"/>
    <w:rsid w:val="002F2429"/>
    <w:rsid w:val="002F2E29"/>
    <w:rsid w:val="002F3608"/>
    <w:rsid w:val="002F4768"/>
    <w:rsid w:val="002F64C4"/>
    <w:rsid w:val="002F6FE9"/>
    <w:rsid w:val="0030068C"/>
    <w:rsid w:val="0030126A"/>
    <w:rsid w:val="003013F7"/>
    <w:rsid w:val="0030172D"/>
    <w:rsid w:val="003028F4"/>
    <w:rsid w:val="00303606"/>
    <w:rsid w:val="00303FD0"/>
    <w:rsid w:val="003042F1"/>
    <w:rsid w:val="003048CE"/>
    <w:rsid w:val="003057CE"/>
    <w:rsid w:val="00305B99"/>
    <w:rsid w:val="00307D5B"/>
    <w:rsid w:val="00310180"/>
    <w:rsid w:val="003121B2"/>
    <w:rsid w:val="003124F2"/>
    <w:rsid w:val="00313052"/>
    <w:rsid w:val="00315D0F"/>
    <w:rsid w:val="00317EC7"/>
    <w:rsid w:val="00322CB1"/>
    <w:rsid w:val="003244B8"/>
    <w:rsid w:val="00325E46"/>
    <w:rsid w:val="00326ED8"/>
    <w:rsid w:val="0032724F"/>
    <w:rsid w:val="00330219"/>
    <w:rsid w:val="00332FFC"/>
    <w:rsid w:val="00333E50"/>
    <w:rsid w:val="00335316"/>
    <w:rsid w:val="0033583C"/>
    <w:rsid w:val="00340307"/>
    <w:rsid w:val="003433A8"/>
    <w:rsid w:val="00343862"/>
    <w:rsid w:val="00343B71"/>
    <w:rsid w:val="0034466C"/>
    <w:rsid w:val="00344ED0"/>
    <w:rsid w:val="00345FE5"/>
    <w:rsid w:val="00347EA4"/>
    <w:rsid w:val="00351402"/>
    <w:rsid w:val="0035475A"/>
    <w:rsid w:val="003549CB"/>
    <w:rsid w:val="00356629"/>
    <w:rsid w:val="00356ED6"/>
    <w:rsid w:val="003608DB"/>
    <w:rsid w:val="00360A96"/>
    <w:rsid w:val="00360F12"/>
    <w:rsid w:val="00360FA9"/>
    <w:rsid w:val="003610DF"/>
    <w:rsid w:val="00363319"/>
    <w:rsid w:val="003646FE"/>
    <w:rsid w:val="00364827"/>
    <w:rsid w:val="00366115"/>
    <w:rsid w:val="003669FF"/>
    <w:rsid w:val="00366E9B"/>
    <w:rsid w:val="00371FDE"/>
    <w:rsid w:val="003725B0"/>
    <w:rsid w:val="00372CC2"/>
    <w:rsid w:val="0037334D"/>
    <w:rsid w:val="003734F1"/>
    <w:rsid w:val="00373599"/>
    <w:rsid w:val="003744CA"/>
    <w:rsid w:val="00375AC3"/>
    <w:rsid w:val="00376BF2"/>
    <w:rsid w:val="0038078F"/>
    <w:rsid w:val="00385606"/>
    <w:rsid w:val="00385E7C"/>
    <w:rsid w:val="0038657F"/>
    <w:rsid w:val="00387102"/>
    <w:rsid w:val="00387CF6"/>
    <w:rsid w:val="0039301D"/>
    <w:rsid w:val="003948DD"/>
    <w:rsid w:val="00395C2C"/>
    <w:rsid w:val="00396022"/>
    <w:rsid w:val="003965CD"/>
    <w:rsid w:val="0039748D"/>
    <w:rsid w:val="003976B4"/>
    <w:rsid w:val="0039794A"/>
    <w:rsid w:val="003A2142"/>
    <w:rsid w:val="003A240C"/>
    <w:rsid w:val="003A2650"/>
    <w:rsid w:val="003A545E"/>
    <w:rsid w:val="003A6C6D"/>
    <w:rsid w:val="003A6EBC"/>
    <w:rsid w:val="003A6F26"/>
    <w:rsid w:val="003B01C0"/>
    <w:rsid w:val="003B3CF3"/>
    <w:rsid w:val="003B4295"/>
    <w:rsid w:val="003B48B6"/>
    <w:rsid w:val="003C1434"/>
    <w:rsid w:val="003C1C67"/>
    <w:rsid w:val="003C518C"/>
    <w:rsid w:val="003C57B1"/>
    <w:rsid w:val="003C6259"/>
    <w:rsid w:val="003C7994"/>
    <w:rsid w:val="003D0957"/>
    <w:rsid w:val="003D4C30"/>
    <w:rsid w:val="003D5D15"/>
    <w:rsid w:val="003D5E72"/>
    <w:rsid w:val="003D6529"/>
    <w:rsid w:val="003E0329"/>
    <w:rsid w:val="003E27A3"/>
    <w:rsid w:val="003E3603"/>
    <w:rsid w:val="003E3863"/>
    <w:rsid w:val="003E414A"/>
    <w:rsid w:val="003E431E"/>
    <w:rsid w:val="003F0A0A"/>
    <w:rsid w:val="003F183C"/>
    <w:rsid w:val="003F3A83"/>
    <w:rsid w:val="003F50F9"/>
    <w:rsid w:val="003F67D7"/>
    <w:rsid w:val="003F6868"/>
    <w:rsid w:val="003F706F"/>
    <w:rsid w:val="00401758"/>
    <w:rsid w:val="00403BB9"/>
    <w:rsid w:val="00405AC1"/>
    <w:rsid w:val="00405EFD"/>
    <w:rsid w:val="00406573"/>
    <w:rsid w:val="00406F29"/>
    <w:rsid w:val="004103CA"/>
    <w:rsid w:val="00411DEF"/>
    <w:rsid w:val="00412252"/>
    <w:rsid w:val="00412487"/>
    <w:rsid w:val="0041273C"/>
    <w:rsid w:val="0041274D"/>
    <w:rsid w:val="00413C7A"/>
    <w:rsid w:val="00414124"/>
    <w:rsid w:val="004146C7"/>
    <w:rsid w:val="00414A9B"/>
    <w:rsid w:val="00415AD7"/>
    <w:rsid w:val="004232AD"/>
    <w:rsid w:val="00424011"/>
    <w:rsid w:val="004258C3"/>
    <w:rsid w:val="00426D54"/>
    <w:rsid w:val="0042755A"/>
    <w:rsid w:val="004325D9"/>
    <w:rsid w:val="00435787"/>
    <w:rsid w:val="00437D56"/>
    <w:rsid w:val="0044123B"/>
    <w:rsid w:val="00442B2D"/>
    <w:rsid w:val="0044544C"/>
    <w:rsid w:val="0044586E"/>
    <w:rsid w:val="00445C24"/>
    <w:rsid w:val="004514C2"/>
    <w:rsid w:val="00453F6A"/>
    <w:rsid w:val="004561EF"/>
    <w:rsid w:val="00460A98"/>
    <w:rsid w:val="0046284E"/>
    <w:rsid w:val="004648BA"/>
    <w:rsid w:val="00465F82"/>
    <w:rsid w:val="00466481"/>
    <w:rsid w:val="004672AA"/>
    <w:rsid w:val="00467C37"/>
    <w:rsid w:val="00467D44"/>
    <w:rsid w:val="004711E5"/>
    <w:rsid w:val="0047223E"/>
    <w:rsid w:val="004731C2"/>
    <w:rsid w:val="00473886"/>
    <w:rsid w:val="00474E89"/>
    <w:rsid w:val="00477EF6"/>
    <w:rsid w:val="0048026F"/>
    <w:rsid w:val="00480FAA"/>
    <w:rsid w:val="004814E4"/>
    <w:rsid w:val="004818CE"/>
    <w:rsid w:val="00482AB6"/>
    <w:rsid w:val="00483B3E"/>
    <w:rsid w:val="004859E1"/>
    <w:rsid w:val="004860B6"/>
    <w:rsid w:val="0048715A"/>
    <w:rsid w:val="00490A95"/>
    <w:rsid w:val="004911BF"/>
    <w:rsid w:val="00492351"/>
    <w:rsid w:val="00492CF2"/>
    <w:rsid w:val="00492D98"/>
    <w:rsid w:val="004949F6"/>
    <w:rsid w:val="00494F12"/>
    <w:rsid w:val="004956B8"/>
    <w:rsid w:val="00495FA4"/>
    <w:rsid w:val="004963B2"/>
    <w:rsid w:val="004A0911"/>
    <w:rsid w:val="004A1535"/>
    <w:rsid w:val="004A3274"/>
    <w:rsid w:val="004A3907"/>
    <w:rsid w:val="004A423E"/>
    <w:rsid w:val="004A4E65"/>
    <w:rsid w:val="004A661F"/>
    <w:rsid w:val="004A6B6E"/>
    <w:rsid w:val="004B0CEF"/>
    <w:rsid w:val="004B1B3D"/>
    <w:rsid w:val="004B20BF"/>
    <w:rsid w:val="004B3B97"/>
    <w:rsid w:val="004B40C2"/>
    <w:rsid w:val="004B6F52"/>
    <w:rsid w:val="004B71A2"/>
    <w:rsid w:val="004B73CC"/>
    <w:rsid w:val="004B73F1"/>
    <w:rsid w:val="004B7486"/>
    <w:rsid w:val="004B7F82"/>
    <w:rsid w:val="004C3CD6"/>
    <w:rsid w:val="004C57BF"/>
    <w:rsid w:val="004C599A"/>
    <w:rsid w:val="004C6C4A"/>
    <w:rsid w:val="004C77A2"/>
    <w:rsid w:val="004C7E38"/>
    <w:rsid w:val="004D0EEF"/>
    <w:rsid w:val="004D217A"/>
    <w:rsid w:val="004D4C59"/>
    <w:rsid w:val="004D59B1"/>
    <w:rsid w:val="004D5E0C"/>
    <w:rsid w:val="004D6F32"/>
    <w:rsid w:val="004D714A"/>
    <w:rsid w:val="004D79F0"/>
    <w:rsid w:val="004E1825"/>
    <w:rsid w:val="004E475E"/>
    <w:rsid w:val="004E4F4C"/>
    <w:rsid w:val="004E560F"/>
    <w:rsid w:val="004E73E1"/>
    <w:rsid w:val="004E768F"/>
    <w:rsid w:val="004F0A92"/>
    <w:rsid w:val="004F127A"/>
    <w:rsid w:val="004F3971"/>
    <w:rsid w:val="004F415B"/>
    <w:rsid w:val="004F5C9D"/>
    <w:rsid w:val="004F7E23"/>
    <w:rsid w:val="0050022E"/>
    <w:rsid w:val="005006D4"/>
    <w:rsid w:val="005008FA"/>
    <w:rsid w:val="005013E1"/>
    <w:rsid w:val="00502AF6"/>
    <w:rsid w:val="00502E1A"/>
    <w:rsid w:val="00502F10"/>
    <w:rsid w:val="005035CA"/>
    <w:rsid w:val="00505422"/>
    <w:rsid w:val="00505D4C"/>
    <w:rsid w:val="00510748"/>
    <w:rsid w:val="00513382"/>
    <w:rsid w:val="005146E7"/>
    <w:rsid w:val="005147B3"/>
    <w:rsid w:val="00514F39"/>
    <w:rsid w:val="00516643"/>
    <w:rsid w:val="00517A69"/>
    <w:rsid w:val="0052102B"/>
    <w:rsid w:val="005262F7"/>
    <w:rsid w:val="00526468"/>
    <w:rsid w:val="00526C9E"/>
    <w:rsid w:val="00527C7E"/>
    <w:rsid w:val="00530277"/>
    <w:rsid w:val="00534EC8"/>
    <w:rsid w:val="00537856"/>
    <w:rsid w:val="00542694"/>
    <w:rsid w:val="00543FB0"/>
    <w:rsid w:val="00545D8D"/>
    <w:rsid w:val="00546966"/>
    <w:rsid w:val="00547425"/>
    <w:rsid w:val="00551919"/>
    <w:rsid w:val="00552C0B"/>
    <w:rsid w:val="00553BA5"/>
    <w:rsid w:val="00554339"/>
    <w:rsid w:val="0056165C"/>
    <w:rsid w:val="00561666"/>
    <w:rsid w:val="005620CC"/>
    <w:rsid w:val="0056534E"/>
    <w:rsid w:val="00566808"/>
    <w:rsid w:val="005669D5"/>
    <w:rsid w:val="00566A46"/>
    <w:rsid w:val="00567E4E"/>
    <w:rsid w:val="00571882"/>
    <w:rsid w:val="00573636"/>
    <w:rsid w:val="00573B6F"/>
    <w:rsid w:val="00575D7F"/>
    <w:rsid w:val="00575D80"/>
    <w:rsid w:val="00577240"/>
    <w:rsid w:val="00577DF7"/>
    <w:rsid w:val="00577EDB"/>
    <w:rsid w:val="005819CF"/>
    <w:rsid w:val="0058275B"/>
    <w:rsid w:val="00582862"/>
    <w:rsid w:val="00584C9A"/>
    <w:rsid w:val="00584F94"/>
    <w:rsid w:val="00585C58"/>
    <w:rsid w:val="00590127"/>
    <w:rsid w:val="00591622"/>
    <w:rsid w:val="005919DB"/>
    <w:rsid w:val="00592B3A"/>
    <w:rsid w:val="0059484D"/>
    <w:rsid w:val="0059679C"/>
    <w:rsid w:val="005A0124"/>
    <w:rsid w:val="005A0981"/>
    <w:rsid w:val="005A17B8"/>
    <w:rsid w:val="005A22F5"/>
    <w:rsid w:val="005A4350"/>
    <w:rsid w:val="005A45AC"/>
    <w:rsid w:val="005A5357"/>
    <w:rsid w:val="005A5786"/>
    <w:rsid w:val="005A59FA"/>
    <w:rsid w:val="005A5E41"/>
    <w:rsid w:val="005B07BA"/>
    <w:rsid w:val="005B11F0"/>
    <w:rsid w:val="005B1749"/>
    <w:rsid w:val="005B3E2B"/>
    <w:rsid w:val="005B6240"/>
    <w:rsid w:val="005B627F"/>
    <w:rsid w:val="005B7423"/>
    <w:rsid w:val="005C1A3B"/>
    <w:rsid w:val="005C5A6E"/>
    <w:rsid w:val="005C6100"/>
    <w:rsid w:val="005C6539"/>
    <w:rsid w:val="005D20ED"/>
    <w:rsid w:val="005D3F0E"/>
    <w:rsid w:val="005D40A7"/>
    <w:rsid w:val="005D4F46"/>
    <w:rsid w:val="005D51E8"/>
    <w:rsid w:val="005D586A"/>
    <w:rsid w:val="005D7CBD"/>
    <w:rsid w:val="005D7CCD"/>
    <w:rsid w:val="005E0D61"/>
    <w:rsid w:val="005E43E0"/>
    <w:rsid w:val="005E48C1"/>
    <w:rsid w:val="005E64F6"/>
    <w:rsid w:val="005F1F56"/>
    <w:rsid w:val="00600B78"/>
    <w:rsid w:val="00601CC5"/>
    <w:rsid w:val="00603577"/>
    <w:rsid w:val="0060383B"/>
    <w:rsid w:val="00603D99"/>
    <w:rsid w:val="00605F81"/>
    <w:rsid w:val="00606765"/>
    <w:rsid w:val="00607BFC"/>
    <w:rsid w:val="00610D9C"/>
    <w:rsid w:val="006119D0"/>
    <w:rsid w:val="006125B5"/>
    <w:rsid w:val="00612772"/>
    <w:rsid w:val="006155B3"/>
    <w:rsid w:val="00615781"/>
    <w:rsid w:val="0061596C"/>
    <w:rsid w:val="006159AA"/>
    <w:rsid w:val="00615E65"/>
    <w:rsid w:val="006177EB"/>
    <w:rsid w:val="00617968"/>
    <w:rsid w:val="006228AD"/>
    <w:rsid w:val="006247DC"/>
    <w:rsid w:val="00624F6F"/>
    <w:rsid w:val="006269AA"/>
    <w:rsid w:val="006276A1"/>
    <w:rsid w:val="00630928"/>
    <w:rsid w:val="00630C91"/>
    <w:rsid w:val="00631EF7"/>
    <w:rsid w:val="006320F1"/>
    <w:rsid w:val="0063367D"/>
    <w:rsid w:val="00633E5B"/>
    <w:rsid w:val="00634851"/>
    <w:rsid w:val="00634A6D"/>
    <w:rsid w:val="00635AF7"/>
    <w:rsid w:val="00636AE4"/>
    <w:rsid w:val="0064067C"/>
    <w:rsid w:val="0064078C"/>
    <w:rsid w:val="0064162F"/>
    <w:rsid w:val="00646243"/>
    <w:rsid w:val="00646580"/>
    <w:rsid w:val="00647353"/>
    <w:rsid w:val="00647452"/>
    <w:rsid w:val="00647685"/>
    <w:rsid w:val="006501F0"/>
    <w:rsid w:val="006533F9"/>
    <w:rsid w:val="006545BB"/>
    <w:rsid w:val="00654805"/>
    <w:rsid w:val="0065585A"/>
    <w:rsid w:val="00655BA9"/>
    <w:rsid w:val="00655DBE"/>
    <w:rsid w:val="0065776A"/>
    <w:rsid w:val="006631D9"/>
    <w:rsid w:val="00663CEF"/>
    <w:rsid w:val="006661B9"/>
    <w:rsid w:val="00666AB0"/>
    <w:rsid w:val="00667A42"/>
    <w:rsid w:val="0067172B"/>
    <w:rsid w:val="0067260A"/>
    <w:rsid w:val="0067755C"/>
    <w:rsid w:val="00677C07"/>
    <w:rsid w:val="00677E55"/>
    <w:rsid w:val="00680105"/>
    <w:rsid w:val="006819D7"/>
    <w:rsid w:val="0068529F"/>
    <w:rsid w:val="00690C82"/>
    <w:rsid w:val="006936D8"/>
    <w:rsid w:val="006945CE"/>
    <w:rsid w:val="0069472C"/>
    <w:rsid w:val="006A0C98"/>
    <w:rsid w:val="006A2C12"/>
    <w:rsid w:val="006A34D1"/>
    <w:rsid w:val="006A3696"/>
    <w:rsid w:val="006A36D2"/>
    <w:rsid w:val="006A3A0A"/>
    <w:rsid w:val="006A3B66"/>
    <w:rsid w:val="006A4D47"/>
    <w:rsid w:val="006A6386"/>
    <w:rsid w:val="006A6711"/>
    <w:rsid w:val="006A6ADB"/>
    <w:rsid w:val="006A758C"/>
    <w:rsid w:val="006A7757"/>
    <w:rsid w:val="006B011B"/>
    <w:rsid w:val="006B03E6"/>
    <w:rsid w:val="006B0493"/>
    <w:rsid w:val="006B416B"/>
    <w:rsid w:val="006B54CE"/>
    <w:rsid w:val="006B582F"/>
    <w:rsid w:val="006B665D"/>
    <w:rsid w:val="006B71F1"/>
    <w:rsid w:val="006C046B"/>
    <w:rsid w:val="006C3A40"/>
    <w:rsid w:val="006C3C21"/>
    <w:rsid w:val="006C429E"/>
    <w:rsid w:val="006C49E3"/>
    <w:rsid w:val="006C58AD"/>
    <w:rsid w:val="006D0B04"/>
    <w:rsid w:val="006D2666"/>
    <w:rsid w:val="006D3417"/>
    <w:rsid w:val="006D6F02"/>
    <w:rsid w:val="006D73CC"/>
    <w:rsid w:val="006D75E3"/>
    <w:rsid w:val="006D7D7B"/>
    <w:rsid w:val="006E2162"/>
    <w:rsid w:val="006E2BFE"/>
    <w:rsid w:val="006E3772"/>
    <w:rsid w:val="006E3CE9"/>
    <w:rsid w:val="006E5D81"/>
    <w:rsid w:val="006E76DF"/>
    <w:rsid w:val="006E78CA"/>
    <w:rsid w:val="006E7FD3"/>
    <w:rsid w:val="006F1C46"/>
    <w:rsid w:val="006F2386"/>
    <w:rsid w:val="006F2FE0"/>
    <w:rsid w:val="006F3203"/>
    <w:rsid w:val="006F51C7"/>
    <w:rsid w:val="006F5A87"/>
    <w:rsid w:val="006F65D4"/>
    <w:rsid w:val="00700868"/>
    <w:rsid w:val="007014D1"/>
    <w:rsid w:val="007014F7"/>
    <w:rsid w:val="00701D85"/>
    <w:rsid w:val="00702CDB"/>
    <w:rsid w:val="007047DF"/>
    <w:rsid w:val="00704894"/>
    <w:rsid w:val="00704B21"/>
    <w:rsid w:val="0070508C"/>
    <w:rsid w:val="00706F94"/>
    <w:rsid w:val="00706FB1"/>
    <w:rsid w:val="0071125D"/>
    <w:rsid w:val="0071127E"/>
    <w:rsid w:val="00711778"/>
    <w:rsid w:val="007119F1"/>
    <w:rsid w:val="00712DE3"/>
    <w:rsid w:val="007137A6"/>
    <w:rsid w:val="00713BBD"/>
    <w:rsid w:val="00713E98"/>
    <w:rsid w:val="00714A41"/>
    <w:rsid w:val="00714C94"/>
    <w:rsid w:val="007156CB"/>
    <w:rsid w:val="00715A38"/>
    <w:rsid w:val="00717B46"/>
    <w:rsid w:val="00721362"/>
    <w:rsid w:val="007265FE"/>
    <w:rsid w:val="00731815"/>
    <w:rsid w:val="0073181B"/>
    <w:rsid w:val="007344E9"/>
    <w:rsid w:val="007354E0"/>
    <w:rsid w:val="0073555C"/>
    <w:rsid w:val="00737844"/>
    <w:rsid w:val="00737CF7"/>
    <w:rsid w:val="00737D94"/>
    <w:rsid w:val="00740632"/>
    <w:rsid w:val="00741658"/>
    <w:rsid w:val="00741D08"/>
    <w:rsid w:val="00743B8F"/>
    <w:rsid w:val="00743EB2"/>
    <w:rsid w:val="00745B8B"/>
    <w:rsid w:val="00746610"/>
    <w:rsid w:val="00746794"/>
    <w:rsid w:val="0074723D"/>
    <w:rsid w:val="00747FEC"/>
    <w:rsid w:val="00753033"/>
    <w:rsid w:val="0076071D"/>
    <w:rsid w:val="00760830"/>
    <w:rsid w:val="0076681C"/>
    <w:rsid w:val="007675A0"/>
    <w:rsid w:val="0077029C"/>
    <w:rsid w:val="00770B3B"/>
    <w:rsid w:val="007731BD"/>
    <w:rsid w:val="00774DDD"/>
    <w:rsid w:val="00774F45"/>
    <w:rsid w:val="00775DD0"/>
    <w:rsid w:val="00776C68"/>
    <w:rsid w:val="00776FF9"/>
    <w:rsid w:val="007802E6"/>
    <w:rsid w:val="00781B66"/>
    <w:rsid w:val="007830CD"/>
    <w:rsid w:val="00783BE4"/>
    <w:rsid w:val="00783E62"/>
    <w:rsid w:val="00785939"/>
    <w:rsid w:val="0078668B"/>
    <w:rsid w:val="00786C6E"/>
    <w:rsid w:val="0079003B"/>
    <w:rsid w:val="00790D2C"/>
    <w:rsid w:val="00792C8E"/>
    <w:rsid w:val="00793D8B"/>
    <w:rsid w:val="00794995"/>
    <w:rsid w:val="00795B8D"/>
    <w:rsid w:val="00796F53"/>
    <w:rsid w:val="007A04F1"/>
    <w:rsid w:val="007A30BB"/>
    <w:rsid w:val="007A3159"/>
    <w:rsid w:val="007A49A5"/>
    <w:rsid w:val="007A6744"/>
    <w:rsid w:val="007A6783"/>
    <w:rsid w:val="007A7CE1"/>
    <w:rsid w:val="007B06EA"/>
    <w:rsid w:val="007B07A5"/>
    <w:rsid w:val="007B179F"/>
    <w:rsid w:val="007B1B43"/>
    <w:rsid w:val="007B2265"/>
    <w:rsid w:val="007B42A1"/>
    <w:rsid w:val="007B4F2E"/>
    <w:rsid w:val="007B602B"/>
    <w:rsid w:val="007B690F"/>
    <w:rsid w:val="007B6F66"/>
    <w:rsid w:val="007B75D4"/>
    <w:rsid w:val="007B7BC4"/>
    <w:rsid w:val="007C23E1"/>
    <w:rsid w:val="007C2DFD"/>
    <w:rsid w:val="007C3820"/>
    <w:rsid w:val="007C5815"/>
    <w:rsid w:val="007C6DE8"/>
    <w:rsid w:val="007C71D2"/>
    <w:rsid w:val="007D1856"/>
    <w:rsid w:val="007D269F"/>
    <w:rsid w:val="007D39E7"/>
    <w:rsid w:val="007D46D0"/>
    <w:rsid w:val="007D5004"/>
    <w:rsid w:val="007D789B"/>
    <w:rsid w:val="007E0226"/>
    <w:rsid w:val="007E04B0"/>
    <w:rsid w:val="007E56A9"/>
    <w:rsid w:val="007E7164"/>
    <w:rsid w:val="007F37BA"/>
    <w:rsid w:val="007F4E02"/>
    <w:rsid w:val="007F7E2E"/>
    <w:rsid w:val="00801FCB"/>
    <w:rsid w:val="00802D11"/>
    <w:rsid w:val="008047FB"/>
    <w:rsid w:val="008107D8"/>
    <w:rsid w:val="008133ED"/>
    <w:rsid w:val="00813C95"/>
    <w:rsid w:val="00814706"/>
    <w:rsid w:val="00814D2C"/>
    <w:rsid w:val="0081560A"/>
    <w:rsid w:val="00815A02"/>
    <w:rsid w:val="00817DFC"/>
    <w:rsid w:val="00825D95"/>
    <w:rsid w:val="00826046"/>
    <w:rsid w:val="00827911"/>
    <w:rsid w:val="00830FB2"/>
    <w:rsid w:val="00831EA8"/>
    <w:rsid w:val="00836B84"/>
    <w:rsid w:val="00840724"/>
    <w:rsid w:val="008412C5"/>
    <w:rsid w:val="008424C5"/>
    <w:rsid w:val="00842825"/>
    <w:rsid w:val="00843435"/>
    <w:rsid w:val="00843889"/>
    <w:rsid w:val="00844AB8"/>
    <w:rsid w:val="00844F0D"/>
    <w:rsid w:val="00845CD1"/>
    <w:rsid w:val="00847C61"/>
    <w:rsid w:val="008539E1"/>
    <w:rsid w:val="0085435D"/>
    <w:rsid w:val="00854D54"/>
    <w:rsid w:val="00855658"/>
    <w:rsid w:val="00857847"/>
    <w:rsid w:val="00857F6A"/>
    <w:rsid w:val="00861879"/>
    <w:rsid w:val="008620BD"/>
    <w:rsid w:val="00862A08"/>
    <w:rsid w:val="00864DAD"/>
    <w:rsid w:val="00865284"/>
    <w:rsid w:val="00866A7E"/>
    <w:rsid w:val="00867B39"/>
    <w:rsid w:val="00867E06"/>
    <w:rsid w:val="00867F19"/>
    <w:rsid w:val="00870BE4"/>
    <w:rsid w:val="00871429"/>
    <w:rsid w:val="00871557"/>
    <w:rsid w:val="00871BED"/>
    <w:rsid w:val="008721CF"/>
    <w:rsid w:val="008726CA"/>
    <w:rsid w:val="008727E5"/>
    <w:rsid w:val="008743FB"/>
    <w:rsid w:val="0087444B"/>
    <w:rsid w:val="008762BA"/>
    <w:rsid w:val="008767EE"/>
    <w:rsid w:val="00876D55"/>
    <w:rsid w:val="00877AE0"/>
    <w:rsid w:val="00880187"/>
    <w:rsid w:val="00882555"/>
    <w:rsid w:val="00883C5E"/>
    <w:rsid w:val="00885BEA"/>
    <w:rsid w:val="00892F13"/>
    <w:rsid w:val="00893340"/>
    <w:rsid w:val="008960BF"/>
    <w:rsid w:val="0089628E"/>
    <w:rsid w:val="008A02BF"/>
    <w:rsid w:val="008A0F37"/>
    <w:rsid w:val="008A1F08"/>
    <w:rsid w:val="008A2055"/>
    <w:rsid w:val="008A22F8"/>
    <w:rsid w:val="008A2C93"/>
    <w:rsid w:val="008A3F47"/>
    <w:rsid w:val="008A56C7"/>
    <w:rsid w:val="008A5983"/>
    <w:rsid w:val="008A77E5"/>
    <w:rsid w:val="008B2E76"/>
    <w:rsid w:val="008B6D2E"/>
    <w:rsid w:val="008B7101"/>
    <w:rsid w:val="008C1427"/>
    <w:rsid w:val="008C1473"/>
    <w:rsid w:val="008C2115"/>
    <w:rsid w:val="008C2674"/>
    <w:rsid w:val="008C296D"/>
    <w:rsid w:val="008C2FAA"/>
    <w:rsid w:val="008C48FE"/>
    <w:rsid w:val="008C6254"/>
    <w:rsid w:val="008C63E2"/>
    <w:rsid w:val="008C6440"/>
    <w:rsid w:val="008C6E00"/>
    <w:rsid w:val="008D021D"/>
    <w:rsid w:val="008D029C"/>
    <w:rsid w:val="008D1CF4"/>
    <w:rsid w:val="008D2CEA"/>
    <w:rsid w:val="008D39B8"/>
    <w:rsid w:val="008D3A37"/>
    <w:rsid w:val="008D3A87"/>
    <w:rsid w:val="008D3C37"/>
    <w:rsid w:val="008D3CF0"/>
    <w:rsid w:val="008D47C8"/>
    <w:rsid w:val="008D4E3B"/>
    <w:rsid w:val="008D5530"/>
    <w:rsid w:val="008D5734"/>
    <w:rsid w:val="008D6489"/>
    <w:rsid w:val="008E0E96"/>
    <w:rsid w:val="008E1DBB"/>
    <w:rsid w:val="008E4218"/>
    <w:rsid w:val="008E4421"/>
    <w:rsid w:val="008E504A"/>
    <w:rsid w:val="008E50F6"/>
    <w:rsid w:val="008E6777"/>
    <w:rsid w:val="008E6AAD"/>
    <w:rsid w:val="008E7F63"/>
    <w:rsid w:val="008F10C2"/>
    <w:rsid w:val="008F1AD3"/>
    <w:rsid w:val="008F3023"/>
    <w:rsid w:val="008F4665"/>
    <w:rsid w:val="008F566A"/>
    <w:rsid w:val="008F7532"/>
    <w:rsid w:val="00903EEB"/>
    <w:rsid w:val="0090556B"/>
    <w:rsid w:val="00906F26"/>
    <w:rsid w:val="009121E7"/>
    <w:rsid w:val="00913556"/>
    <w:rsid w:val="00913AEE"/>
    <w:rsid w:val="00916CB8"/>
    <w:rsid w:val="00917C39"/>
    <w:rsid w:val="00921288"/>
    <w:rsid w:val="009218B5"/>
    <w:rsid w:val="00922CC0"/>
    <w:rsid w:val="00922DDB"/>
    <w:rsid w:val="00925C93"/>
    <w:rsid w:val="00926B63"/>
    <w:rsid w:val="00930949"/>
    <w:rsid w:val="009328CB"/>
    <w:rsid w:val="0093327A"/>
    <w:rsid w:val="00933949"/>
    <w:rsid w:val="00937F86"/>
    <w:rsid w:val="00940D22"/>
    <w:rsid w:val="00941875"/>
    <w:rsid w:val="00942069"/>
    <w:rsid w:val="009420C3"/>
    <w:rsid w:val="009436DD"/>
    <w:rsid w:val="00943B05"/>
    <w:rsid w:val="00944968"/>
    <w:rsid w:val="00944BC8"/>
    <w:rsid w:val="00946FF2"/>
    <w:rsid w:val="0094727C"/>
    <w:rsid w:val="00947A8F"/>
    <w:rsid w:val="00947C21"/>
    <w:rsid w:val="00951025"/>
    <w:rsid w:val="00951EF0"/>
    <w:rsid w:val="0095223B"/>
    <w:rsid w:val="00952754"/>
    <w:rsid w:val="00953179"/>
    <w:rsid w:val="009539F3"/>
    <w:rsid w:val="00954441"/>
    <w:rsid w:val="009555AA"/>
    <w:rsid w:val="0095617E"/>
    <w:rsid w:val="00960A15"/>
    <w:rsid w:val="0096158C"/>
    <w:rsid w:val="00963235"/>
    <w:rsid w:val="009641C9"/>
    <w:rsid w:val="009647F1"/>
    <w:rsid w:val="009659AB"/>
    <w:rsid w:val="009700FA"/>
    <w:rsid w:val="009719F8"/>
    <w:rsid w:val="00973E70"/>
    <w:rsid w:val="00973EB3"/>
    <w:rsid w:val="00974AC3"/>
    <w:rsid w:val="0097600B"/>
    <w:rsid w:val="00976EEC"/>
    <w:rsid w:val="0098045E"/>
    <w:rsid w:val="00980B6B"/>
    <w:rsid w:val="00981591"/>
    <w:rsid w:val="009827A8"/>
    <w:rsid w:val="00984735"/>
    <w:rsid w:val="00985636"/>
    <w:rsid w:val="009878E9"/>
    <w:rsid w:val="0099032C"/>
    <w:rsid w:val="00993F63"/>
    <w:rsid w:val="00994167"/>
    <w:rsid w:val="009960A2"/>
    <w:rsid w:val="00996166"/>
    <w:rsid w:val="0099742A"/>
    <w:rsid w:val="009A11E3"/>
    <w:rsid w:val="009A1620"/>
    <w:rsid w:val="009A175E"/>
    <w:rsid w:val="009A1BED"/>
    <w:rsid w:val="009A2B6D"/>
    <w:rsid w:val="009A421C"/>
    <w:rsid w:val="009A6307"/>
    <w:rsid w:val="009A7242"/>
    <w:rsid w:val="009B10B7"/>
    <w:rsid w:val="009B1A99"/>
    <w:rsid w:val="009B2CC7"/>
    <w:rsid w:val="009B3341"/>
    <w:rsid w:val="009B4CA6"/>
    <w:rsid w:val="009B4E6E"/>
    <w:rsid w:val="009B7110"/>
    <w:rsid w:val="009B74A7"/>
    <w:rsid w:val="009B7ABF"/>
    <w:rsid w:val="009C066B"/>
    <w:rsid w:val="009C0742"/>
    <w:rsid w:val="009C0AD2"/>
    <w:rsid w:val="009C4B21"/>
    <w:rsid w:val="009C6B4D"/>
    <w:rsid w:val="009D1300"/>
    <w:rsid w:val="009D2B54"/>
    <w:rsid w:val="009D3520"/>
    <w:rsid w:val="009D3B01"/>
    <w:rsid w:val="009D4CF5"/>
    <w:rsid w:val="009D6925"/>
    <w:rsid w:val="009D7DA7"/>
    <w:rsid w:val="009E0668"/>
    <w:rsid w:val="009E1AC0"/>
    <w:rsid w:val="009E1B16"/>
    <w:rsid w:val="009E1B9D"/>
    <w:rsid w:val="009E2822"/>
    <w:rsid w:val="009E29B4"/>
    <w:rsid w:val="009E73A4"/>
    <w:rsid w:val="009F049E"/>
    <w:rsid w:val="009F07E8"/>
    <w:rsid w:val="009F190A"/>
    <w:rsid w:val="009F2F81"/>
    <w:rsid w:val="009F44CC"/>
    <w:rsid w:val="009F6208"/>
    <w:rsid w:val="00A0146A"/>
    <w:rsid w:val="00A01F00"/>
    <w:rsid w:val="00A0230F"/>
    <w:rsid w:val="00A0307F"/>
    <w:rsid w:val="00A031FE"/>
    <w:rsid w:val="00A05E34"/>
    <w:rsid w:val="00A05F93"/>
    <w:rsid w:val="00A06904"/>
    <w:rsid w:val="00A07002"/>
    <w:rsid w:val="00A072BB"/>
    <w:rsid w:val="00A128AE"/>
    <w:rsid w:val="00A137B6"/>
    <w:rsid w:val="00A143E8"/>
    <w:rsid w:val="00A147FE"/>
    <w:rsid w:val="00A148C5"/>
    <w:rsid w:val="00A149E8"/>
    <w:rsid w:val="00A15B23"/>
    <w:rsid w:val="00A16E06"/>
    <w:rsid w:val="00A173EA"/>
    <w:rsid w:val="00A227D0"/>
    <w:rsid w:val="00A235EF"/>
    <w:rsid w:val="00A23908"/>
    <w:rsid w:val="00A2489D"/>
    <w:rsid w:val="00A24B29"/>
    <w:rsid w:val="00A24D4A"/>
    <w:rsid w:val="00A26903"/>
    <w:rsid w:val="00A26D6B"/>
    <w:rsid w:val="00A270AA"/>
    <w:rsid w:val="00A305C2"/>
    <w:rsid w:val="00A33498"/>
    <w:rsid w:val="00A3654C"/>
    <w:rsid w:val="00A36B54"/>
    <w:rsid w:val="00A3767F"/>
    <w:rsid w:val="00A37D9D"/>
    <w:rsid w:val="00A44337"/>
    <w:rsid w:val="00A456B5"/>
    <w:rsid w:val="00A46202"/>
    <w:rsid w:val="00A46FFB"/>
    <w:rsid w:val="00A47661"/>
    <w:rsid w:val="00A51B3A"/>
    <w:rsid w:val="00A533F8"/>
    <w:rsid w:val="00A5435F"/>
    <w:rsid w:val="00A545BB"/>
    <w:rsid w:val="00A54A2E"/>
    <w:rsid w:val="00A55061"/>
    <w:rsid w:val="00A55307"/>
    <w:rsid w:val="00A57D47"/>
    <w:rsid w:val="00A60440"/>
    <w:rsid w:val="00A65B9B"/>
    <w:rsid w:val="00A672B5"/>
    <w:rsid w:val="00A721D8"/>
    <w:rsid w:val="00A72369"/>
    <w:rsid w:val="00A72C3C"/>
    <w:rsid w:val="00A74511"/>
    <w:rsid w:val="00A751E2"/>
    <w:rsid w:val="00A75536"/>
    <w:rsid w:val="00A770DE"/>
    <w:rsid w:val="00A817C2"/>
    <w:rsid w:val="00A82B89"/>
    <w:rsid w:val="00A83305"/>
    <w:rsid w:val="00A83F4F"/>
    <w:rsid w:val="00A84E9D"/>
    <w:rsid w:val="00A86CFC"/>
    <w:rsid w:val="00A87731"/>
    <w:rsid w:val="00A9056D"/>
    <w:rsid w:val="00A91A31"/>
    <w:rsid w:val="00A923B6"/>
    <w:rsid w:val="00A9361D"/>
    <w:rsid w:val="00A93B57"/>
    <w:rsid w:val="00A94232"/>
    <w:rsid w:val="00A942B8"/>
    <w:rsid w:val="00A955FB"/>
    <w:rsid w:val="00A9652B"/>
    <w:rsid w:val="00AA0115"/>
    <w:rsid w:val="00AA0C0A"/>
    <w:rsid w:val="00AA0CC9"/>
    <w:rsid w:val="00AA16E6"/>
    <w:rsid w:val="00AA183D"/>
    <w:rsid w:val="00AA2496"/>
    <w:rsid w:val="00AA253D"/>
    <w:rsid w:val="00AB1725"/>
    <w:rsid w:val="00AB529A"/>
    <w:rsid w:val="00AB64E3"/>
    <w:rsid w:val="00AB6545"/>
    <w:rsid w:val="00AB6925"/>
    <w:rsid w:val="00AB7394"/>
    <w:rsid w:val="00AB7F0A"/>
    <w:rsid w:val="00AC0129"/>
    <w:rsid w:val="00AC1C3B"/>
    <w:rsid w:val="00AC5B1A"/>
    <w:rsid w:val="00AD0F4B"/>
    <w:rsid w:val="00AD17AF"/>
    <w:rsid w:val="00AD2001"/>
    <w:rsid w:val="00AD34A7"/>
    <w:rsid w:val="00AD52CC"/>
    <w:rsid w:val="00AD63AF"/>
    <w:rsid w:val="00AD7DC8"/>
    <w:rsid w:val="00AE0AEF"/>
    <w:rsid w:val="00AE10AB"/>
    <w:rsid w:val="00AE2CAB"/>
    <w:rsid w:val="00AE6699"/>
    <w:rsid w:val="00AE71CE"/>
    <w:rsid w:val="00AE7C57"/>
    <w:rsid w:val="00AF053C"/>
    <w:rsid w:val="00AF0978"/>
    <w:rsid w:val="00AF0C2B"/>
    <w:rsid w:val="00AF324F"/>
    <w:rsid w:val="00AF36D3"/>
    <w:rsid w:val="00AF3EA8"/>
    <w:rsid w:val="00AF5615"/>
    <w:rsid w:val="00AF5AF3"/>
    <w:rsid w:val="00AF5D71"/>
    <w:rsid w:val="00AF6F2F"/>
    <w:rsid w:val="00AF721B"/>
    <w:rsid w:val="00B000A9"/>
    <w:rsid w:val="00B015BE"/>
    <w:rsid w:val="00B02632"/>
    <w:rsid w:val="00B03738"/>
    <w:rsid w:val="00B04561"/>
    <w:rsid w:val="00B0459B"/>
    <w:rsid w:val="00B05378"/>
    <w:rsid w:val="00B05703"/>
    <w:rsid w:val="00B059B5"/>
    <w:rsid w:val="00B07E75"/>
    <w:rsid w:val="00B10E84"/>
    <w:rsid w:val="00B10FCC"/>
    <w:rsid w:val="00B1245F"/>
    <w:rsid w:val="00B12F8E"/>
    <w:rsid w:val="00B13AC3"/>
    <w:rsid w:val="00B14F37"/>
    <w:rsid w:val="00B1513D"/>
    <w:rsid w:val="00B15A43"/>
    <w:rsid w:val="00B17262"/>
    <w:rsid w:val="00B177B9"/>
    <w:rsid w:val="00B17BA5"/>
    <w:rsid w:val="00B20E37"/>
    <w:rsid w:val="00B21755"/>
    <w:rsid w:val="00B219AA"/>
    <w:rsid w:val="00B24BBE"/>
    <w:rsid w:val="00B24C4F"/>
    <w:rsid w:val="00B24EA6"/>
    <w:rsid w:val="00B2581A"/>
    <w:rsid w:val="00B25FB6"/>
    <w:rsid w:val="00B26F81"/>
    <w:rsid w:val="00B2715B"/>
    <w:rsid w:val="00B27B67"/>
    <w:rsid w:val="00B354F1"/>
    <w:rsid w:val="00B36887"/>
    <w:rsid w:val="00B37B65"/>
    <w:rsid w:val="00B404F7"/>
    <w:rsid w:val="00B43454"/>
    <w:rsid w:val="00B44CDC"/>
    <w:rsid w:val="00B46764"/>
    <w:rsid w:val="00B47B47"/>
    <w:rsid w:val="00B51A75"/>
    <w:rsid w:val="00B51B76"/>
    <w:rsid w:val="00B529BC"/>
    <w:rsid w:val="00B529BE"/>
    <w:rsid w:val="00B53164"/>
    <w:rsid w:val="00B543CB"/>
    <w:rsid w:val="00B55FCE"/>
    <w:rsid w:val="00B62DCF"/>
    <w:rsid w:val="00B630C7"/>
    <w:rsid w:val="00B63385"/>
    <w:rsid w:val="00B6346F"/>
    <w:rsid w:val="00B6372F"/>
    <w:rsid w:val="00B63F58"/>
    <w:rsid w:val="00B64092"/>
    <w:rsid w:val="00B64A7F"/>
    <w:rsid w:val="00B65773"/>
    <w:rsid w:val="00B6746E"/>
    <w:rsid w:val="00B678A4"/>
    <w:rsid w:val="00B67C37"/>
    <w:rsid w:val="00B7023B"/>
    <w:rsid w:val="00B70AD1"/>
    <w:rsid w:val="00B718AA"/>
    <w:rsid w:val="00B71A62"/>
    <w:rsid w:val="00B72088"/>
    <w:rsid w:val="00B74179"/>
    <w:rsid w:val="00B7468E"/>
    <w:rsid w:val="00B75375"/>
    <w:rsid w:val="00B76045"/>
    <w:rsid w:val="00B767E6"/>
    <w:rsid w:val="00B77B3A"/>
    <w:rsid w:val="00B807D3"/>
    <w:rsid w:val="00B82107"/>
    <w:rsid w:val="00B833E9"/>
    <w:rsid w:val="00B8586C"/>
    <w:rsid w:val="00B86A56"/>
    <w:rsid w:val="00B86B85"/>
    <w:rsid w:val="00B879E8"/>
    <w:rsid w:val="00B9097B"/>
    <w:rsid w:val="00B9113B"/>
    <w:rsid w:val="00B920B0"/>
    <w:rsid w:val="00B925CB"/>
    <w:rsid w:val="00B945CF"/>
    <w:rsid w:val="00B96AD9"/>
    <w:rsid w:val="00BA0AAC"/>
    <w:rsid w:val="00BA1015"/>
    <w:rsid w:val="00BA4758"/>
    <w:rsid w:val="00BA4DD8"/>
    <w:rsid w:val="00BA5B0D"/>
    <w:rsid w:val="00BB3CFB"/>
    <w:rsid w:val="00BC0684"/>
    <w:rsid w:val="00BC0C22"/>
    <w:rsid w:val="00BC299B"/>
    <w:rsid w:val="00BC32E3"/>
    <w:rsid w:val="00BC3CC8"/>
    <w:rsid w:val="00BC4008"/>
    <w:rsid w:val="00BC416B"/>
    <w:rsid w:val="00BC4C3B"/>
    <w:rsid w:val="00BC58D6"/>
    <w:rsid w:val="00BC6018"/>
    <w:rsid w:val="00BC7257"/>
    <w:rsid w:val="00BD01F3"/>
    <w:rsid w:val="00BD0D5E"/>
    <w:rsid w:val="00BD12EF"/>
    <w:rsid w:val="00BD1815"/>
    <w:rsid w:val="00BD1AC2"/>
    <w:rsid w:val="00BD2230"/>
    <w:rsid w:val="00BD2699"/>
    <w:rsid w:val="00BD2C00"/>
    <w:rsid w:val="00BD2C2C"/>
    <w:rsid w:val="00BD4DE4"/>
    <w:rsid w:val="00BD6540"/>
    <w:rsid w:val="00BE1AE7"/>
    <w:rsid w:val="00BE48EE"/>
    <w:rsid w:val="00BE6E46"/>
    <w:rsid w:val="00BE6FF2"/>
    <w:rsid w:val="00BE70FB"/>
    <w:rsid w:val="00BE7F99"/>
    <w:rsid w:val="00BF138E"/>
    <w:rsid w:val="00BF368C"/>
    <w:rsid w:val="00BF5B07"/>
    <w:rsid w:val="00BF725A"/>
    <w:rsid w:val="00BF7F23"/>
    <w:rsid w:val="00C006FC"/>
    <w:rsid w:val="00C02121"/>
    <w:rsid w:val="00C023D0"/>
    <w:rsid w:val="00C0416A"/>
    <w:rsid w:val="00C04CFD"/>
    <w:rsid w:val="00C05C56"/>
    <w:rsid w:val="00C06C02"/>
    <w:rsid w:val="00C075E5"/>
    <w:rsid w:val="00C10635"/>
    <w:rsid w:val="00C1135D"/>
    <w:rsid w:val="00C11B0E"/>
    <w:rsid w:val="00C12E1B"/>
    <w:rsid w:val="00C13023"/>
    <w:rsid w:val="00C13BF0"/>
    <w:rsid w:val="00C143AB"/>
    <w:rsid w:val="00C15E12"/>
    <w:rsid w:val="00C167E4"/>
    <w:rsid w:val="00C16864"/>
    <w:rsid w:val="00C16870"/>
    <w:rsid w:val="00C16DB4"/>
    <w:rsid w:val="00C16E6D"/>
    <w:rsid w:val="00C20151"/>
    <w:rsid w:val="00C24A3C"/>
    <w:rsid w:val="00C2625F"/>
    <w:rsid w:val="00C26EFB"/>
    <w:rsid w:val="00C31042"/>
    <w:rsid w:val="00C3462E"/>
    <w:rsid w:val="00C37D50"/>
    <w:rsid w:val="00C37D95"/>
    <w:rsid w:val="00C40729"/>
    <w:rsid w:val="00C408B2"/>
    <w:rsid w:val="00C42F9D"/>
    <w:rsid w:val="00C43F4F"/>
    <w:rsid w:val="00C44122"/>
    <w:rsid w:val="00C4469F"/>
    <w:rsid w:val="00C46C3D"/>
    <w:rsid w:val="00C47EBA"/>
    <w:rsid w:val="00C51A29"/>
    <w:rsid w:val="00C52D0A"/>
    <w:rsid w:val="00C567C7"/>
    <w:rsid w:val="00C568BB"/>
    <w:rsid w:val="00C6047A"/>
    <w:rsid w:val="00C60D60"/>
    <w:rsid w:val="00C628C3"/>
    <w:rsid w:val="00C62FB8"/>
    <w:rsid w:val="00C647DA"/>
    <w:rsid w:val="00C64B60"/>
    <w:rsid w:val="00C65455"/>
    <w:rsid w:val="00C6586F"/>
    <w:rsid w:val="00C6612E"/>
    <w:rsid w:val="00C66F2F"/>
    <w:rsid w:val="00C700F5"/>
    <w:rsid w:val="00C704E3"/>
    <w:rsid w:val="00C71976"/>
    <w:rsid w:val="00C72F67"/>
    <w:rsid w:val="00C74282"/>
    <w:rsid w:val="00C74E82"/>
    <w:rsid w:val="00C7639B"/>
    <w:rsid w:val="00C76DE7"/>
    <w:rsid w:val="00C8026C"/>
    <w:rsid w:val="00C822C7"/>
    <w:rsid w:val="00C8444A"/>
    <w:rsid w:val="00C8452F"/>
    <w:rsid w:val="00C8454D"/>
    <w:rsid w:val="00C84B0E"/>
    <w:rsid w:val="00C854FA"/>
    <w:rsid w:val="00C85EDA"/>
    <w:rsid w:val="00C86171"/>
    <w:rsid w:val="00C86E7C"/>
    <w:rsid w:val="00C9026E"/>
    <w:rsid w:val="00C9140B"/>
    <w:rsid w:val="00C93029"/>
    <w:rsid w:val="00C96866"/>
    <w:rsid w:val="00C97651"/>
    <w:rsid w:val="00CA24C1"/>
    <w:rsid w:val="00CA2D6F"/>
    <w:rsid w:val="00CB0981"/>
    <w:rsid w:val="00CB0F26"/>
    <w:rsid w:val="00CB126B"/>
    <w:rsid w:val="00CB1E97"/>
    <w:rsid w:val="00CB22C1"/>
    <w:rsid w:val="00CB2A4B"/>
    <w:rsid w:val="00CB6E29"/>
    <w:rsid w:val="00CB76B4"/>
    <w:rsid w:val="00CC0D7B"/>
    <w:rsid w:val="00CC2090"/>
    <w:rsid w:val="00CC21AF"/>
    <w:rsid w:val="00CC3108"/>
    <w:rsid w:val="00CC3364"/>
    <w:rsid w:val="00CC3658"/>
    <w:rsid w:val="00CC4F34"/>
    <w:rsid w:val="00CC52A0"/>
    <w:rsid w:val="00CD1EE9"/>
    <w:rsid w:val="00CD39F5"/>
    <w:rsid w:val="00CD3BA3"/>
    <w:rsid w:val="00CD49A2"/>
    <w:rsid w:val="00CD4D0B"/>
    <w:rsid w:val="00CD5929"/>
    <w:rsid w:val="00CD5CFB"/>
    <w:rsid w:val="00CD6B42"/>
    <w:rsid w:val="00CE09D2"/>
    <w:rsid w:val="00CE1DC5"/>
    <w:rsid w:val="00CE3148"/>
    <w:rsid w:val="00CE688D"/>
    <w:rsid w:val="00CE79CD"/>
    <w:rsid w:val="00CF1723"/>
    <w:rsid w:val="00CF1FB0"/>
    <w:rsid w:val="00CF3272"/>
    <w:rsid w:val="00CF3326"/>
    <w:rsid w:val="00CF429B"/>
    <w:rsid w:val="00CF6AA4"/>
    <w:rsid w:val="00CF75A4"/>
    <w:rsid w:val="00CF787E"/>
    <w:rsid w:val="00D00268"/>
    <w:rsid w:val="00D018BA"/>
    <w:rsid w:val="00D02FAF"/>
    <w:rsid w:val="00D03DEB"/>
    <w:rsid w:val="00D0422F"/>
    <w:rsid w:val="00D053A2"/>
    <w:rsid w:val="00D12B9E"/>
    <w:rsid w:val="00D163DD"/>
    <w:rsid w:val="00D17066"/>
    <w:rsid w:val="00D17E4D"/>
    <w:rsid w:val="00D20CAB"/>
    <w:rsid w:val="00D20D3D"/>
    <w:rsid w:val="00D2291C"/>
    <w:rsid w:val="00D2365C"/>
    <w:rsid w:val="00D23901"/>
    <w:rsid w:val="00D24DBA"/>
    <w:rsid w:val="00D25AC8"/>
    <w:rsid w:val="00D270DC"/>
    <w:rsid w:val="00D27D3D"/>
    <w:rsid w:val="00D30DCB"/>
    <w:rsid w:val="00D31817"/>
    <w:rsid w:val="00D335FD"/>
    <w:rsid w:val="00D35553"/>
    <w:rsid w:val="00D367D1"/>
    <w:rsid w:val="00D36BE7"/>
    <w:rsid w:val="00D40E96"/>
    <w:rsid w:val="00D412A4"/>
    <w:rsid w:val="00D41F66"/>
    <w:rsid w:val="00D42D35"/>
    <w:rsid w:val="00D448AC"/>
    <w:rsid w:val="00D45966"/>
    <w:rsid w:val="00D45F6E"/>
    <w:rsid w:val="00D4669D"/>
    <w:rsid w:val="00D46F6A"/>
    <w:rsid w:val="00D4795D"/>
    <w:rsid w:val="00D47D24"/>
    <w:rsid w:val="00D5175B"/>
    <w:rsid w:val="00D55C44"/>
    <w:rsid w:val="00D5702D"/>
    <w:rsid w:val="00D605C2"/>
    <w:rsid w:val="00D62A5C"/>
    <w:rsid w:val="00D63815"/>
    <w:rsid w:val="00D63DA8"/>
    <w:rsid w:val="00D65621"/>
    <w:rsid w:val="00D66E32"/>
    <w:rsid w:val="00D70575"/>
    <w:rsid w:val="00D70BF3"/>
    <w:rsid w:val="00D71AB7"/>
    <w:rsid w:val="00D72644"/>
    <w:rsid w:val="00D76576"/>
    <w:rsid w:val="00D76D30"/>
    <w:rsid w:val="00D774E9"/>
    <w:rsid w:val="00D8425B"/>
    <w:rsid w:val="00D8502A"/>
    <w:rsid w:val="00D8532F"/>
    <w:rsid w:val="00D91847"/>
    <w:rsid w:val="00D91AD3"/>
    <w:rsid w:val="00D92434"/>
    <w:rsid w:val="00D935F3"/>
    <w:rsid w:val="00D94182"/>
    <w:rsid w:val="00D94C39"/>
    <w:rsid w:val="00D9583B"/>
    <w:rsid w:val="00D96198"/>
    <w:rsid w:val="00D96906"/>
    <w:rsid w:val="00D97B90"/>
    <w:rsid w:val="00DA2031"/>
    <w:rsid w:val="00DA2580"/>
    <w:rsid w:val="00DA3155"/>
    <w:rsid w:val="00DA677F"/>
    <w:rsid w:val="00DB30F2"/>
    <w:rsid w:val="00DB3118"/>
    <w:rsid w:val="00DB4290"/>
    <w:rsid w:val="00DB5EE1"/>
    <w:rsid w:val="00DC06B5"/>
    <w:rsid w:val="00DC1291"/>
    <w:rsid w:val="00DC250C"/>
    <w:rsid w:val="00DC32A5"/>
    <w:rsid w:val="00DC4E8F"/>
    <w:rsid w:val="00DC6B4F"/>
    <w:rsid w:val="00DD452A"/>
    <w:rsid w:val="00DD4532"/>
    <w:rsid w:val="00DD528D"/>
    <w:rsid w:val="00DD5560"/>
    <w:rsid w:val="00DD6D1D"/>
    <w:rsid w:val="00DD75CF"/>
    <w:rsid w:val="00DE03E6"/>
    <w:rsid w:val="00DE2C69"/>
    <w:rsid w:val="00DE31D5"/>
    <w:rsid w:val="00DE4957"/>
    <w:rsid w:val="00DE5D5D"/>
    <w:rsid w:val="00DE7CE3"/>
    <w:rsid w:val="00DE7FB0"/>
    <w:rsid w:val="00DF0251"/>
    <w:rsid w:val="00DF12EE"/>
    <w:rsid w:val="00DF1ADB"/>
    <w:rsid w:val="00DF6A59"/>
    <w:rsid w:val="00DF7C61"/>
    <w:rsid w:val="00DF7E51"/>
    <w:rsid w:val="00E02494"/>
    <w:rsid w:val="00E03324"/>
    <w:rsid w:val="00E03B19"/>
    <w:rsid w:val="00E0415A"/>
    <w:rsid w:val="00E05D71"/>
    <w:rsid w:val="00E07B7E"/>
    <w:rsid w:val="00E07C19"/>
    <w:rsid w:val="00E10368"/>
    <w:rsid w:val="00E1155E"/>
    <w:rsid w:val="00E118F0"/>
    <w:rsid w:val="00E13F44"/>
    <w:rsid w:val="00E1450A"/>
    <w:rsid w:val="00E14AD2"/>
    <w:rsid w:val="00E17DBF"/>
    <w:rsid w:val="00E22437"/>
    <w:rsid w:val="00E22626"/>
    <w:rsid w:val="00E227E5"/>
    <w:rsid w:val="00E22F54"/>
    <w:rsid w:val="00E23EE0"/>
    <w:rsid w:val="00E25319"/>
    <w:rsid w:val="00E26910"/>
    <w:rsid w:val="00E27F72"/>
    <w:rsid w:val="00E331B9"/>
    <w:rsid w:val="00E3429E"/>
    <w:rsid w:val="00E35240"/>
    <w:rsid w:val="00E3713F"/>
    <w:rsid w:val="00E40ECB"/>
    <w:rsid w:val="00E42A48"/>
    <w:rsid w:val="00E4346A"/>
    <w:rsid w:val="00E46B30"/>
    <w:rsid w:val="00E51A3E"/>
    <w:rsid w:val="00E54B36"/>
    <w:rsid w:val="00E56235"/>
    <w:rsid w:val="00E5699B"/>
    <w:rsid w:val="00E5751D"/>
    <w:rsid w:val="00E57A66"/>
    <w:rsid w:val="00E57B48"/>
    <w:rsid w:val="00E60BF5"/>
    <w:rsid w:val="00E615F0"/>
    <w:rsid w:val="00E62350"/>
    <w:rsid w:val="00E62E9B"/>
    <w:rsid w:val="00E63A18"/>
    <w:rsid w:val="00E63F90"/>
    <w:rsid w:val="00E73871"/>
    <w:rsid w:val="00E7654C"/>
    <w:rsid w:val="00E76E95"/>
    <w:rsid w:val="00E77784"/>
    <w:rsid w:val="00E81519"/>
    <w:rsid w:val="00E82389"/>
    <w:rsid w:val="00E8249D"/>
    <w:rsid w:val="00E82581"/>
    <w:rsid w:val="00E8395E"/>
    <w:rsid w:val="00E839BA"/>
    <w:rsid w:val="00E85C76"/>
    <w:rsid w:val="00E9305F"/>
    <w:rsid w:val="00E94B47"/>
    <w:rsid w:val="00E965C3"/>
    <w:rsid w:val="00EA0D6D"/>
    <w:rsid w:val="00EA2886"/>
    <w:rsid w:val="00EA4419"/>
    <w:rsid w:val="00EA4C72"/>
    <w:rsid w:val="00EA52D8"/>
    <w:rsid w:val="00EA5E85"/>
    <w:rsid w:val="00EB0825"/>
    <w:rsid w:val="00EB58E2"/>
    <w:rsid w:val="00EC026B"/>
    <w:rsid w:val="00EC2781"/>
    <w:rsid w:val="00EC4279"/>
    <w:rsid w:val="00EC5366"/>
    <w:rsid w:val="00EC5A29"/>
    <w:rsid w:val="00EC633C"/>
    <w:rsid w:val="00EC63B1"/>
    <w:rsid w:val="00ED08C5"/>
    <w:rsid w:val="00ED2AAD"/>
    <w:rsid w:val="00ED4389"/>
    <w:rsid w:val="00ED5218"/>
    <w:rsid w:val="00ED5E03"/>
    <w:rsid w:val="00ED66C4"/>
    <w:rsid w:val="00ED6AAA"/>
    <w:rsid w:val="00ED6C59"/>
    <w:rsid w:val="00ED733C"/>
    <w:rsid w:val="00EE0B34"/>
    <w:rsid w:val="00EE1E4E"/>
    <w:rsid w:val="00EE30F4"/>
    <w:rsid w:val="00EE31F2"/>
    <w:rsid w:val="00EE691A"/>
    <w:rsid w:val="00EE72F5"/>
    <w:rsid w:val="00EF1257"/>
    <w:rsid w:val="00EF1BA5"/>
    <w:rsid w:val="00EF2BAF"/>
    <w:rsid w:val="00EF47B9"/>
    <w:rsid w:val="00EF583D"/>
    <w:rsid w:val="00EF683F"/>
    <w:rsid w:val="00EF7C36"/>
    <w:rsid w:val="00F006CF"/>
    <w:rsid w:val="00F00FBB"/>
    <w:rsid w:val="00F02342"/>
    <w:rsid w:val="00F0380C"/>
    <w:rsid w:val="00F0485C"/>
    <w:rsid w:val="00F0525B"/>
    <w:rsid w:val="00F05B49"/>
    <w:rsid w:val="00F11D90"/>
    <w:rsid w:val="00F1212C"/>
    <w:rsid w:val="00F14B91"/>
    <w:rsid w:val="00F14C80"/>
    <w:rsid w:val="00F15BC6"/>
    <w:rsid w:val="00F1600C"/>
    <w:rsid w:val="00F16A54"/>
    <w:rsid w:val="00F16CD4"/>
    <w:rsid w:val="00F17599"/>
    <w:rsid w:val="00F22281"/>
    <w:rsid w:val="00F22C59"/>
    <w:rsid w:val="00F23698"/>
    <w:rsid w:val="00F2396A"/>
    <w:rsid w:val="00F250CF"/>
    <w:rsid w:val="00F262A7"/>
    <w:rsid w:val="00F26A50"/>
    <w:rsid w:val="00F2705D"/>
    <w:rsid w:val="00F306CB"/>
    <w:rsid w:val="00F30842"/>
    <w:rsid w:val="00F315D8"/>
    <w:rsid w:val="00F317AF"/>
    <w:rsid w:val="00F32849"/>
    <w:rsid w:val="00F34D47"/>
    <w:rsid w:val="00F4039A"/>
    <w:rsid w:val="00F41104"/>
    <w:rsid w:val="00F41DC7"/>
    <w:rsid w:val="00F4369B"/>
    <w:rsid w:val="00F451D8"/>
    <w:rsid w:val="00F46095"/>
    <w:rsid w:val="00F46455"/>
    <w:rsid w:val="00F473D0"/>
    <w:rsid w:val="00F47E85"/>
    <w:rsid w:val="00F50E47"/>
    <w:rsid w:val="00F51AE8"/>
    <w:rsid w:val="00F53024"/>
    <w:rsid w:val="00F538E9"/>
    <w:rsid w:val="00F56C86"/>
    <w:rsid w:val="00F56E94"/>
    <w:rsid w:val="00F56F92"/>
    <w:rsid w:val="00F60209"/>
    <w:rsid w:val="00F60805"/>
    <w:rsid w:val="00F6125E"/>
    <w:rsid w:val="00F645CE"/>
    <w:rsid w:val="00F64781"/>
    <w:rsid w:val="00F65972"/>
    <w:rsid w:val="00F65A25"/>
    <w:rsid w:val="00F664A8"/>
    <w:rsid w:val="00F67711"/>
    <w:rsid w:val="00F70C35"/>
    <w:rsid w:val="00F71500"/>
    <w:rsid w:val="00F72133"/>
    <w:rsid w:val="00F749D5"/>
    <w:rsid w:val="00F74CD1"/>
    <w:rsid w:val="00F7678A"/>
    <w:rsid w:val="00F76A6C"/>
    <w:rsid w:val="00F76CBA"/>
    <w:rsid w:val="00F77E56"/>
    <w:rsid w:val="00F81014"/>
    <w:rsid w:val="00F81667"/>
    <w:rsid w:val="00F82458"/>
    <w:rsid w:val="00F8486D"/>
    <w:rsid w:val="00F8606B"/>
    <w:rsid w:val="00F92FCF"/>
    <w:rsid w:val="00F931FA"/>
    <w:rsid w:val="00F93EF5"/>
    <w:rsid w:val="00F959EF"/>
    <w:rsid w:val="00FA099A"/>
    <w:rsid w:val="00FA1E99"/>
    <w:rsid w:val="00FA23AE"/>
    <w:rsid w:val="00FA24F2"/>
    <w:rsid w:val="00FA2C49"/>
    <w:rsid w:val="00FA2EB8"/>
    <w:rsid w:val="00FA47D9"/>
    <w:rsid w:val="00FA4E92"/>
    <w:rsid w:val="00FA6BD0"/>
    <w:rsid w:val="00FB130C"/>
    <w:rsid w:val="00FB216F"/>
    <w:rsid w:val="00FB2E38"/>
    <w:rsid w:val="00FB46B6"/>
    <w:rsid w:val="00FB47E4"/>
    <w:rsid w:val="00FB57D8"/>
    <w:rsid w:val="00FB5E7B"/>
    <w:rsid w:val="00FC0F5A"/>
    <w:rsid w:val="00FC4EB1"/>
    <w:rsid w:val="00FC6118"/>
    <w:rsid w:val="00FC6FED"/>
    <w:rsid w:val="00FC702A"/>
    <w:rsid w:val="00FC7339"/>
    <w:rsid w:val="00FD0268"/>
    <w:rsid w:val="00FD035A"/>
    <w:rsid w:val="00FD21CF"/>
    <w:rsid w:val="00FD2AD4"/>
    <w:rsid w:val="00FD3232"/>
    <w:rsid w:val="00FD3392"/>
    <w:rsid w:val="00FD34C0"/>
    <w:rsid w:val="00FD3792"/>
    <w:rsid w:val="00FD5208"/>
    <w:rsid w:val="00FD5E1E"/>
    <w:rsid w:val="00FD7762"/>
    <w:rsid w:val="00FE08C8"/>
    <w:rsid w:val="00FE1612"/>
    <w:rsid w:val="00FE3E68"/>
    <w:rsid w:val="00FE63EA"/>
    <w:rsid w:val="00FE79EE"/>
    <w:rsid w:val="00FF0551"/>
    <w:rsid w:val="00FF20D0"/>
    <w:rsid w:val="00FF58DC"/>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97AE507"/>
  <w15:chartTrackingRefBased/>
  <w15:docId w15:val="{06D7E073-9039-4650-9243-6CBFABC5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F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C1C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0F2"/>
    <w:pPr>
      <w:ind w:left="720"/>
      <w:contextualSpacing/>
    </w:pPr>
  </w:style>
  <w:style w:type="paragraph" w:styleId="Header">
    <w:name w:val="header"/>
    <w:basedOn w:val="Normal"/>
    <w:link w:val="HeaderChar"/>
    <w:uiPriority w:val="99"/>
    <w:unhideWhenUsed/>
    <w:rsid w:val="00DF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A59"/>
  </w:style>
  <w:style w:type="paragraph" w:styleId="Footer">
    <w:name w:val="footer"/>
    <w:basedOn w:val="Normal"/>
    <w:link w:val="FooterChar"/>
    <w:uiPriority w:val="99"/>
    <w:unhideWhenUsed/>
    <w:rsid w:val="00DF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A59"/>
  </w:style>
  <w:style w:type="paragraph" w:styleId="EndnoteText">
    <w:name w:val="endnote text"/>
    <w:basedOn w:val="Normal"/>
    <w:link w:val="EndnoteTextChar"/>
    <w:uiPriority w:val="99"/>
    <w:semiHidden/>
    <w:unhideWhenUsed/>
    <w:rsid w:val="00EC53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5366"/>
    <w:rPr>
      <w:sz w:val="20"/>
      <w:szCs w:val="20"/>
    </w:rPr>
  </w:style>
  <w:style w:type="character" w:styleId="EndnoteReference">
    <w:name w:val="endnote reference"/>
    <w:basedOn w:val="DefaultParagraphFont"/>
    <w:uiPriority w:val="99"/>
    <w:semiHidden/>
    <w:unhideWhenUsed/>
    <w:rsid w:val="00EC5366"/>
    <w:rPr>
      <w:vertAlign w:val="superscript"/>
    </w:rPr>
  </w:style>
  <w:style w:type="table" w:styleId="TableGrid">
    <w:name w:val="Table Grid"/>
    <w:basedOn w:val="TableNormal"/>
    <w:uiPriority w:val="39"/>
    <w:rsid w:val="0087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767E6"/>
    <w:pPr>
      <w:spacing w:after="0" w:line="240" w:lineRule="auto"/>
    </w:pPr>
    <w:rPr>
      <w:sz w:val="20"/>
      <w:szCs w:val="20"/>
    </w:rPr>
  </w:style>
  <w:style w:type="character" w:customStyle="1" w:styleId="FootnoteTextChar">
    <w:name w:val="Footnote Text Char"/>
    <w:basedOn w:val="DefaultParagraphFont"/>
    <w:link w:val="FootnoteText"/>
    <w:uiPriority w:val="99"/>
    <w:rsid w:val="00B767E6"/>
    <w:rPr>
      <w:sz w:val="20"/>
      <w:szCs w:val="20"/>
    </w:rPr>
  </w:style>
  <w:style w:type="character" w:styleId="FootnoteReference">
    <w:name w:val="footnote reference"/>
    <w:basedOn w:val="DefaultParagraphFont"/>
    <w:uiPriority w:val="99"/>
    <w:semiHidden/>
    <w:unhideWhenUsed/>
    <w:rsid w:val="00B767E6"/>
    <w:rPr>
      <w:vertAlign w:val="superscript"/>
    </w:rPr>
  </w:style>
  <w:style w:type="character" w:styleId="CommentReference">
    <w:name w:val="annotation reference"/>
    <w:basedOn w:val="DefaultParagraphFont"/>
    <w:uiPriority w:val="99"/>
    <w:semiHidden/>
    <w:unhideWhenUsed/>
    <w:rsid w:val="00A9056D"/>
    <w:rPr>
      <w:sz w:val="16"/>
      <w:szCs w:val="16"/>
    </w:rPr>
  </w:style>
  <w:style w:type="paragraph" w:styleId="CommentText">
    <w:name w:val="annotation text"/>
    <w:basedOn w:val="Normal"/>
    <w:link w:val="CommentTextChar"/>
    <w:uiPriority w:val="99"/>
    <w:unhideWhenUsed/>
    <w:rsid w:val="00A9056D"/>
    <w:pPr>
      <w:spacing w:line="240" w:lineRule="auto"/>
    </w:pPr>
    <w:rPr>
      <w:sz w:val="20"/>
      <w:szCs w:val="20"/>
    </w:rPr>
  </w:style>
  <w:style w:type="character" w:customStyle="1" w:styleId="CommentTextChar">
    <w:name w:val="Comment Text Char"/>
    <w:basedOn w:val="DefaultParagraphFont"/>
    <w:link w:val="CommentText"/>
    <w:uiPriority w:val="99"/>
    <w:rsid w:val="00A9056D"/>
    <w:rPr>
      <w:sz w:val="20"/>
      <w:szCs w:val="20"/>
    </w:rPr>
  </w:style>
  <w:style w:type="paragraph" w:styleId="CommentSubject">
    <w:name w:val="annotation subject"/>
    <w:basedOn w:val="CommentText"/>
    <w:next w:val="CommentText"/>
    <w:link w:val="CommentSubjectChar"/>
    <w:uiPriority w:val="99"/>
    <w:semiHidden/>
    <w:unhideWhenUsed/>
    <w:rsid w:val="00A9056D"/>
    <w:rPr>
      <w:b/>
      <w:bCs/>
    </w:rPr>
  </w:style>
  <w:style w:type="character" w:customStyle="1" w:styleId="CommentSubjectChar">
    <w:name w:val="Comment Subject Char"/>
    <w:basedOn w:val="CommentTextChar"/>
    <w:link w:val="CommentSubject"/>
    <w:uiPriority w:val="99"/>
    <w:semiHidden/>
    <w:rsid w:val="00A9056D"/>
    <w:rPr>
      <w:b/>
      <w:bCs/>
      <w:sz w:val="20"/>
      <w:szCs w:val="20"/>
    </w:rPr>
  </w:style>
  <w:style w:type="paragraph" w:styleId="BalloonText">
    <w:name w:val="Balloon Text"/>
    <w:basedOn w:val="Normal"/>
    <w:link w:val="BalloonTextChar"/>
    <w:uiPriority w:val="99"/>
    <w:semiHidden/>
    <w:unhideWhenUsed/>
    <w:rsid w:val="00A9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56D"/>
    <w:rPr>
      <w:rFonts w:ascii="Segoe UI" w:hAnsi="Segoe UI" w:cs="Segoe UI"/>
      <w:sz w:val="18"/>
      <w:szCs w:val="18"/>
    </w:rPr>
  </w:style>
  <w:style w:type="character" w:styleId="Hyperlink">
    <w:name w:val="Hyperlink"/>
    <w:basedOn w:val="DefaultParagraphFont"/>
    <w:uiPriority w:val="99"/>
    <w:unhideWhenUsed/>
    <w:rsid w:val="007E0226"/>
    <w:rPr>
      <w:color w:val="0563C1" w:themeColor="hyperlink"/>
      <w:u w:val="single"/>
    </w:rPr>
  </w:style>
  <w:style w:type="character" w:customStyle="1" w:styleId="UnresolvedMention1">
    <w:name w:val="Unresolved Mention1"/>
    <w:basedOn w:val="DefaultParagraphFont"/>
    <w:uiPriority w:val="99"/>
    <w:semiHidden/>
    <w:unhideWhenUsed/>
    <w:rsid w:val="005008FA"/>
    <w:rPr>
      <w:color w:val="605E5C"/>
      <w:shd w:val="clear" w:color="auto" w:fill="E1DFDD"/>
    </w:rPr>
  </w:style>
  <w:style w:type="character" w:customStyle="1" w:styleId="Heading1Char">
    <w:name w:val="Heading 1 Char"/>
    <w:basedOn w:val="DefaultParagraphFont"/>
    <w:link w:val="Heading1"/>
    <w:uiPriority w:val="9"/>
    <w:rsid w:val="00AB529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95627"/>
    <w:rPr>
      <w:color w:val="954F72" w:themeColor="followedHyperlink"/>
      <w:u w:val="single"/>
    </w:rPr>
  </w:style>
  <w:style w:type="character" w:customStyle="1" w:styleId="Heading3Char">
    <w:name w:val="Heading 3 Char"/>
    <w:basedOn w:val="DefaultParagraphFont"/>
    <w:link w:val="Heading3"/>
    <w:uiPriority w:val="9"/>
    <w:semiHidden/>
    <w:rsid w:val="00480FAA"/>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5D586A"/>
    <w:rPr>
      <w:color w:val="605E5C"/>
      <w:shd w:val="clear" w:color="auto" w:fill="E1DFDD"/>
    </w:rPr>
  </w:style>
  <w:style w:type="paragraph" w:styleId="Revision">
    <w:name w:val="Revision"/>
    <w:hidden/>
    <w:uiPriority w:val="99"/>
    <w:semiHidden/>
    <w:rsid w:val="00DC1291"/>
    <w:pPr>
      <w:spacing w:after="0" w:line="240" w:lineRule="auto"/>
    </w:pPr>
  </w:style>
  <w:style w:type="character" w:customStyle="1" w:styleId="UnresolvedMention3">
    <w:name w:val="Unresolved Mention3"/>
    <w:basedOn w:val="DefaultParagraphFont"/>
    <w:uiPriority w:val="99"/>
    <w:semiHidden/>
    <w:unhideWhenUsed/>
    <w:rsid w:val="00EA4C72"/>
    <w:rPr>
      <w:color w:val="605E5C"/>
      <w:shd w:val="clear" w:color="auto" w:fill="E1DFDD"/>
    </w:rPr>
  </w:style>
  <w:style w:type="character" w:customStyle="1" w:styleId="UnresolvedMention4">
    <w:name w:val="Unresolved Mention4"/>
    <w:basedOn w:val="DefaultParagraphFont"/>
    <w:uiPriority w:val="99"/>
    <w:semiHidden/>
    <w:unhideWhenUsed/>
    <w:rsid w:val="007C6DE8"/>
    <w:rPr>
      <w:color w:val="605E5C"/>
      <w:shd w:val="clear" w:color="auto" w:fill="E1DFDD"/>
    </w:rPr>
  </w:style>
  <w:style w:type="character" w:customStyle="1" w:styleId="UnresolvedMention5">
    <w:name w:val="Unresolved Mention5"/>
    <w:basedOn w:val="DefaultParagraphFont"/>
    <w:uiPriority w:val="99"/>
    <w:semiHidden/>
    <w:unhideWhenUsed/>
    <w:rsid w:val="00EA0D6D"/>
    <w:rPr>
      <w:color w:val="605E5C"/>
      <w:shd w:val="clear" w:color="auto" w:fill="E1DFDD"/>
    </w:rPr>
  </w:style>
  <w:style w:type="character" w:customStyle="1" w:styleId="UnresolvedMention6">
    <w:name w:val="Unresolved Mention6"/>
    <w:basedOn w:val="DefaultParagraphFont"/>
    <w:uiPriority w:val="99"/>
    <w:semiHidden/>
    <w:unhideWhenUsed/>
    <w:rsid w:val="00577DF7"/>
    <w:rPr>
      <w:color w:val="605E5C"/>
      <w:shd w:val="clear" w:color="auto" w:fill="E1DFDD"/>
    </w:rPr>
  </w:style>
  <w:style w:type="character" w:customStyle="1" w:styleId="Heading4Char">
    <w:name w:val="Heading 4 Char"/>
    <w:basedOn w:val="DefaultParagraphFont"/>
    <w:link w:val="Heading4"/>
    <w:uiPriority w:val="9"/>
    <w:semiHidden/>
    <w:rsid w:val="00AC1C3B"/>
    <w:rPr>
      <w:rFonts w:asciiTheme="majorHAnsi" w:eastAsiaTheme="majorEastAsia" w:hAnsiTheme="majorHAnsi" w:cstheme="majorBidi"/>
      <w:i/>
      <w:iCs/>
      <w:color w:val="2F5496" w:themeColor="accent1" w:themeShade="BF"/>
    </w:rPr>
  </w:style>
  <w:style w:type="character" w:customStyle="1" w:styleId="UnresolvedMention7">
    <w:name w:val="Unresolved Mention7"/>
    <w:basedOn w:val="DefaultParagraphFont"/>
    <w:uiPriority w:val="99"/>
    <w:semiHidden/>
    <w:unhideWhenUsed/>
    <w:rsid w:val="00C04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061">
      <w:bodyDiv w:val="1"/>
      <w:marLeft w:val="0"/>
      <w:marRight w:val="0"/>
      <w:marTop w:val="0"/>
      <w:marBottom w:val="0"/>
      <w:divBdr>
        <w:top w:val="none" w:sz="0" w:space="0" w:color="auto"/>
        <w:left w:val="none" w:sz="0" w:space="0" w:color="auto"/>
        <w:bottom w:val="none" w:sz="0" w:space="0" w:color="auto"/>
        <w:right w:val="none" w:sz="0" w:space="0" w:color="auto"/>
      </w:divBdr>
      <w:divsChild>
        <w:div w:id="1946569818">
          <w:marLeft w:val="0"/>
          <w:marRight w:val="0"/>
          <w:marTop w:val="0"/>
          <w:marBottom w:val="0"/>
          <w:divBdr>
            <w:top w:val="none" w:sz="0" w:space="0" w:color="auto"/>
            <w:left w:val="none" w:sz="0" w:space="0" w:color="auto"/>
            <w:bottom w:val="none" w:sz="0" w:space="0" w:color="auto"/>
            <w:right w:val="none" w:sz="0" w:space="0" w:color="auto"/>
          </w:divBdr>
          <w:divsChild>
            <w:div w:id="1054616942">
              <w:marLeft w:val="0"/>
              <w:marRight w:val="0"/>
              <w:marTop w:val="300"/>
              <w:marBottom w:val="135"/>
              <w:divBdr>
                <w:top w:val="none" w:sz="0" w:space="0" w:color="auto"/>
                <w:left w:val="single" w:sz="24" w:space="15" w:color="D8D9DA"/>
                <w:bottom w:val="none" w:sz="0" w:space="0" w:color="auto"/>
                <w:right w:val="none" w:sz="0" w:space="0" w:color="auto"/>
              </w:divBdr>
              <w:divsChild>
                <w:div w:id="1436823115">
                  <w:marLeft w:val="0"/>
                  <w:marRight w:val="0"/>
                  <w:marTop w:val="0"/>
                  <w:marBottom w:val="0"/>
                  <w:divBdr>
                    <w:top w:val="none" w:sz="0" w:space="0" w:color="auto"/>
                    <w:left w:val="none" w:sz="0" w:space="0" w:color="auto"/>
                    <w:bottom w:val="none" w:sz="0" w:space="0" w:color="auto"/>
                    <w:right w:val="none" w:sz="0" w:space="0" w:color="auto"/>
                  </w:divBdr>
                  <w:divsChild>
                    <w:div w:id="2018313238">
                      <w:marLeft w:val="0"/>
                      <w:marRight w:val="0"/>
                      <w:marTop w:val="0"/>
                      <w:marBottom w:val="0"/>
                      <w:divBdr>
                        <w:top w:val="none" w:sz="0" w:space="0" w:color="auto"/>
                        <w:left w:val="none" w:sz="0" w:space="0" w:color="auto"/>
                        <w:bottom w:val="none" w:sz="0" w:space="0" w:color="auto"/>
                        <w:right w:val="none" w:sz="0" w:space="0" w:color="auto"/>
                      </w:divBdr>
                      <w:divsChild>
                        <w:div w:id="555698571">
                          <w:marLeft w:val="0"/>
                          <w:marRight w:val="0"/>
                          <w:marTop w:val="0"/>
                          <w:marBottom w:val="0"/>
                          <w:divBdr>
                            <w:top w:val="none" w:sz="0" w:space="0" w:color="auto"/>
                            <w:left w:val="none" w:sz="0" w:space="0" w:color="auto"/>
                            <w:bottom w:val="none" w:sz="0" w:space="0" w:color="auto"/>
                            <w:right w:val="none" w:sz="0" w:space="0" w:color="auto"/>
                          </w:divBdr>
                          <w:divsChild>
                            <w:div w:id="19779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893669">
          <w:marLeft w:val="0"/>
          <w:marRight w:val="0"/>
          <w:marTop w:val="0"/>
          <w:marBottom w:val="0"/>
          <w:divBdr>
            <w:top w:val="none" w:sz="0" w:space="0" w:color="auto"/>
            <w:left w:val="none" w:sz="0" w:space="0" w:color="auto"/>
            <w:bottom w:val="none" w:sz="0" w:space="0" w:color="auto"/>
            <w:right w:val="none" w:sz="0" w:space="0" w:color="auto"/>
          </w:divBdr>
          <w:divsChild>
            <w:div w:id="8716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2430">
      <w:bodyDiv w:val="1"/>
      <w:marLeft w:val="0"/>
      <w:marRight w:val="0"/>
      <w:marTop w:val="0"/>
      <w:marBottom w:val="0"/>
      <w:divBdr>
        <w:top w:val="none" w:sz="0" w:space="0" w:color="auto"/>
        <w:left w:val="none" w:sz="0" w:space="0" w:color="auto"/>
        <w:bottom w:val="none" w:sz="0" w:space="0" w:color="auto"/>
        <w:right w:val="none" w:sz="0" w:space="0" w:color="auto"/>
      </w:divBdr>
    </w:div>
    <w:div w:id="251478137">
      <w:bodyDiv w:val="1"/>
      <w:marLeft w:val="0"/>
      <w:marRight w:val="0"/>
      <w:marTop w:val="0"/>
      <w:marBottom w:val="0"/>
      <w:divBdr>
        <w:top w:val="none" w:sz="0" w:space="0" w:color="auto"/>
        <w:left w:val="none" w:sz="0" w:space="0" w:color="auto"/>
        <w:bottom w:val="none" w:sz="0" w:space="0" w:color="auto"/>
        <w:right w:val="none" w:sz="0" w:space="0" w:color="auto"/>
      </w:divBdr>
    </w:div>
    <w:div w:id="267584606">
      <w:bodyDiv w:val="1"/>
      <w:marLeft w:val="0"/>
      <w:marRight w:val="0"/>
      <w:marTop w:val="0"/>
      <w:marBottom w:val="0"/>
      <w:divBdr>
        <w:top w:val="none" w:sz="0" w:space="0" w:color="auto"/>
        <w:left w:val="none" w:sz="0" w:space="0" w:color="auto"/>
        <w:bottom w:val="none" w:sz="0" w:space="0" w:color="auto"/>
        <w:right w:val="none" w:sz="0" w:space="0" w:color="auto"/>
      </w:divBdr>
    </w:div>
    <w:div w:id="810295806">
      <w:bodyDiv w:val="1"/>
      <w:marLeft w:val="0"/>
      <w:marRight w:val="0"/>
      <w:marTop w:val="0"/>
      <w:marBottom w:val="0"/>
      <w:divBdr>
        <w:top w:val="none" w:sz="0" w:space="0" w:color="auto"/>
        <w:left w:val="none" w:sz="0" w:space="0" w:color="auto"/>
        <w:bottom w:val="none" w:sz="0" w:space="0" w:color="auto"/>
        <w:right w:val="none" w:sz="0" w:space="0" w:color="auto"/>
      </w:divBdr>
    </w:div>
    <w:div w:id="932981405">
      <w:bodyDiv w:val="1"/>
      <w:marLeft w:val="0"/>
      <w:marRight w:val="0"/>
      <w:marTop w:val="0"/>
      <w:marBottom w:val="0"/>
      <w:divBdr>
        <w:top w:val="none" w:sz="0" w:space="0" w:color="auto"/>
        <w:left w:val="none" w:sz="0" w:space="0" w:color="auto"/>
        <w:bottom w:val="none" w:sz="0" w:space="0" w:color="auto"/>
        <w:right w:val="none" w:sz="0" w:space="0" w:color="auto"/>
      </w:divBdr>
    </w:div>
    <w:div w:id="1042175249">
      <w:bodyDiv w:val="1"/>
      <w:marLeft w:val="0"/>
      <w:marRight w:val="0"/>
      <w:marTop w:val="0"/>
      <w:marBottom w:val="0"/>
      <w:divBdr>
        <w:top w:val="none" w:sz="0" w:space="0" w:color="auto"/>
        <w:left w:val="none" w:sz="0" w:space="0" w:color="auto"/>
        <w:bottom w:val="none" w:sz="0" w:space="0" w:color="auto"/>
        <w:right w:val="none" w:sz="0" w:space="0" w:color="auto"/>
      </w:divBdr>
    </w:div>
    <w:div w:id="1377507084">
      <w:bodyDiv w:val="1"/>
      <w:marLeft w:val="0"/>
      <w:marRight w:val="0"/>
      <w:marTop w:val="0"/>
      <w:marBottom w:val="0"/>
      <w:divBdr>
        <w:top w:val="none" w:sz="0" w:space="0" w:color="auto"/>
        <w:left w:val="none" w:sz="0" w:space="0" w:color="auto"/>
        <w:bottom w:val="none" w:sz="0" w:space="0" w:color="auto"/>
        <w:right w:val="none" w:sz="0" w:space="0" w:color="auto"/>
      </w:divBdr>
    </w:div>
    <w:div w:id="1404178237">
      <w:bodyDiv w:val="1"/>
      <w:marLeft w:val="0"/>
      <w:marRight w:val="0"/>
      <w:marTop w:val="0"/>
      <w:marBottom w:val="0"/>
      <w:divBdr>
        <w:top w:val="none" w:sz="0" w:space="0" w:color="auto"/>
        <w:left w:val="none" w:sz="0" w:space="0" w:color="auto"/>
        <w:bottom w:val="none" w:sz="0" w:space="0" w:color="auto"/>
        <w:right w:val="none" w:sz="0" w:space="0" w:color="auto"/>
      </w:divBdr>
    </w:div>
    <w:div w:id="1408457770">
      <w:bodyDiv w:val="1"/>
      <w:marLeft w:val="0"/>
      <w:marRight w:val="0"/>
      <w:marTop w:val="0"/>
      <w:marBottom w:val="0"/>
      <w:divBdr>
        <w:top w:val="none" w:sz="0" w:space="0" w:color="auto"/>
        <w:left w:val="none" w:sz="0" w:space="0" w:color="auto"/>
        <w:bottom w:val="none" w:sz="0" w:space="0" w:color="auto"/>
        <w:right w:val="none" w:sz="0" w:space="0" w:color="auto"/>
      </w:divBdr>
    </w:div>
    <w:div w:id="1509129419">
      <w:bodyDiv w:val="1"/>
      <w:marLeft w:val="0"/>
      <w:marRight w:val="0"/>
      <w:marTop w:val="0"/>
      <w:marBottom w:val="0"/>
      <w:divBdr>
        <w:top w:val="none" w:sz="0" w:space="0" w:color="auto"/>
        <w:left w:val="none" w:sz="0" w:space="0" w:color="auto"/>
        <w:bottom w:val="none" w:sz="0" w:space="0" w:color="auto"/>
        <w:right w:val="none" w:sz="0" w:space="0" w:color="auto"/>
      </w:divBdr>
    </w:div>
    <w:div w:id="1599800211">
      <w:bodyDiv w:val="1"/>
      <w:marLeft w:val="0"/>
      <w:marRight w:val="0"/>
      <w:marTop w:val="0"/>
      <w:marBottom w:val="0"/>
      <w:divBdr>
        <w:top w:val="none" w:sz="0" w:space="0" w:color="auto"/>
        <w:left w:val="none" w:sz="0" w:space="0" w:color="auto"/>
        <w:bottom w:val="none" w:sz="0" w:space="0" w:color="auto"/>
        <w:right w:val="none" w:sz="0" w:space="0" w:color="auto"/>
      </w:divBdr>
    </w:div>
    <w:div w:id="1600606047">
      <w:bodyDiv w:val="1"/>
      <w:marLeft w:val="0"/>
      <w:marRight w:val="0"/>
      <w:marTop w:val="0"/>
      <w:marBottom w:val="0"/>
      <w:divBdr>
        <w:top w:val="none" w:sz="0" w:space="0" w:color="auto"/>
        <w:left w:val="none" w:sz="0" w:space="0" w:color="auto"/>
        <w:bottom w:val="none" w:sz="0" w:space="0" w:color="auto"/>
        <w:right w:val="none" w:sz="0" w:space="0" w:color="auto"/>
      </w:divBdr>
    </w:div>
    <w:div w:id="1717507986">
      <w:bodyDiv w:val="1"/>
      <w:marLeft w:val="0"/>
      <w:marRight w:val="0"/>
      <w:marTop w:val="0"/>
      <w:marBottom w:val="0"/>
      <w:divBdr>
        <w:top w:val="none" w:sz="0" w:space="0" w:color="auto"/>
        <w:left w:val="none" w:sz="0" w:space="0" w:color="auto"/>
        <w:bottom w:val="none" w:sz="0" w:space="0" w:color="auto"/>
        <w:right w:val="none" w:sz="0" w:space="0" w:color="auto"/>
      </w:divBdr>
    </w:div>
    <w:div w:id="1772316750">
      <w:bodyDiv w:val="1"/>
      <w:marLeft w:val="0"/>
      <w:marRight w:val="0"/>
      <w:marTop w:val="0"/>
      <w:marBottom w:val="0"/>
      <w:divBdr>
        <w:top w:val="none" w:sz="0" w:space="0" w:color="auto"/>
        <w:left w:val="none" w:sz="0" w:space="0" w:color="auto"/>
        <w:bottom w:val="none" w:sz="0" w:space="0" w:color="auto"/>
        <w:right w:val="none" w:sz="0" w:space="0" w:color="auto"/>
      </w:divBdr>
      <w:divsChild>
        <w:div w:id="2034263192">
          <w:marLeft w:val="0"/>
          <w:marRight w:val="0"/>
          <w:marTop w:val="0"/>
          <w:marBottom w:val="0"/>
          <w:divBdr>
            <w:top w:val="none" w:sz="0" w:space="0" w:color="auto"/>
            <w:left w:val="none" w:sz="0" w:space="0" w:color="auto"/>
            <w:bottom w:val="none" w:sz="0" w:space="0" w:color="auto"/>
            <w:right w:val="none" w:sz="0" w:space="0" w:color="auto"/>
          </w:divBdr>
        </w:div>
        <w:div w:id="1195769976">
          <w:marLeft w:val="0"/>
          <w:marRight w:val="0"/>
          <w:marTop w:val="0"/>
          <w:marBottom w:val="0"/>
          <w:divBdr>
            <w:top w:val="none" w:sz="0" w:space="0" w:color="auto"/>
            <w:left w:val="none" w:sz="0" w:space="0" w:color="auto"/>
            <w:bottom w:val="none" w:sz="0" w:space="0" w:color="auto"/>
            <w:right w:val="none" w:sz="0" w:space="0" w:color="auto"/>
          </w:divBdr>
        </w:div>
        <w:div w:id="1916665875">
          <w:marLeft w:val="0"/>
          <w:marRight w:val="0"/>
          <w:marTop w:val="0"/>
          <w:marBottom w:val="0"/>
          <w:divBdr>
            <w:top w:val="none" w:sz="0" w:space="0" w:color="auto"/>
            <w:left w:val="none" w:sz="0" w:space="0" w:color="auto"/>
            <w:bottom w:val="none" w:sz="0" w:space="0" w:color="auto"/>
            <w:right w:val="none" w:sz="0" w:space="0" w:color="auto"/>
          </w:divBdr>
        </w:div>
      </w:divsChild>
    </w:div>
    <w:div w:id="18510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corporateaccountabilityresearch.net/njm-report-xv-rspo" TargetMode="External"/><Relationship Id="rId18" Type="http://schemas.openxmlformats.org/officeDocument/2006/relationships/hyperlink" Target="https://www.reuters.com/article/us-total-biofuels-palmoil/in-blow-to-total-france-upholds-law-banning-palm-oil-from-biofuel-scheme-idUSKBN1WQ0ZG" TargetMode="External"/><Relationship Id="rId26" Type="http://schemas.openxmlformats.org/officeDocument/2006/relationships/hyperlink" Target="https://www.rspo.org/articles/download/86ecb2e35265a17" TargetMode="External"/><Relationship Id="rId39" Type="http://schemas.openxmlformats.org/officeDocument/2006/relationships/hyperlink" Target="http://mneguidelines.oecd.org/database/instances/ch0017.htm" TargetMode="External"/><Relationship Id="rId21" Type="http://schemas.openxmlformats.org/officeDocument/2006/relationships/hyperlink" Target="https://www.forbes.com/sites/davekeating/2019/03/14/eu-labels-biofuel-from-palm-oil-as-unsustainable-bans-subsidies/" TargetMode="External"/><Relationship Id="rId34" Type="http://schemas.openxmlformats.org/officeDocument/2006/relationships/hyperlink" Target="https://rspo.org/publications/download/bf72abc7fe14bae" TargetMode="External"/><Relationship Id="rId42" Type="http://schemas.openxmlformats.org/officeDocument/2006/relationships/hyperlink" Target="https://askrspo.force.com/Complaint/s/case/50090000028Erz4AAC/" TargetMode="External"/><Relationship Id="rId47" Type="http://schemas.openxmlformats.org/officeDocument/2006/relationships/hyperlink" Target="https://ap8.salesforce.com/sfc/p/" TargetMode="External"/><Relationship Id="rId50" Type="http://schemas.openxmlformats.org/officeDocument/2006/relationships/hyperlink" Target="https://askrspo.force.com/Complaint/s/case/50090000028Es0OAAS/" TargetMode="External"/><Relationship Id="rId7" Type="http://schemas.openxmlformats.org/officeDocument/2006/relationships/hyperlink" Target="https://www.cdacollaborative.org/wp-content/uploads/2016/01/Piloting-Principles-for-Effective-Company-Stakeholder-Grievance-Mechanisms-A-Report-of-Lessons-Learned.pdf" TargetMode="External"/><Relationship Id="rId2" Type="http://schemas.openxmlformats.org/officeDocument/2006/relationships/hyperlink" Target="https://www.somo.nl/the-patchwork-of-non-judicial-grievance-mechanisms/#:~:text=The%20Patchwork%20of%20Non-Judicial%20Grievance%20Mechanisms%20Addressing%20the,their%20limitations%2C%20and%20provide%20recommendations%20for%20improving%20them" TargetMode="External"/><Relationship Id="rId16" Type="http://schemas.openxmlformats.org/officeDocument/2006/relationships/hyperlink" Target="https://theconversation.com/palm-oil-scourge-of-the-earth-or-wonder-crop-42165" TargetMode="External"/><Relationship Id="rId29" Type="http://schemas.openxmlformats.org/officeDocument/2006/relationships/hyperlink" Target="http://kenan.ethics.duke.edu/humanrights" TargetMode="External"/><Relationship Id="rId11" Type="http://schemas.openxmlformats.org/officeDocument/2006/relationships/hyperlink" Target="https://corporateaccountabilityresearch.net/njm-project-publications" TargetMode="External"/><Relationship Id="rId24" Type="http://schemas.openxmlformats.org/officeDocument/2006/relationships/hyperlink" Target="https://rspo.org/resources/certification/rspo-principles-criteria-certification" TargetMode="External"/><Relationship Id="rId32" Type="http://schemas.openxmlformats.org/officeDocument/2006/relationships/hyperlink" Target="https://www.msi-integrity.org/not-fit-for-purpose/" TargetMode="External"/><Relationship Id="rId37" Type="http://schemas.openxmlformats.org/officeDocument/2006/relationships/hyperlink" Target="https://www.youtube.com/watch?v=6q2RU_8RRTc" TargetMode="External"/><Relationship Id="rId40" Type="http://schemas.openxmlformats.org/officeDocument/2006/relationships/hyperlink" Target="https://rspo.org/resources/certification/rspo-principles-criteria-certification" TargetMode="External"/><Relationship Id="rId45" Type="http://schemas.openxmlformats.org/officeDocument/2006/relationships/hyperlink" Target="https://www.goldmanprize.org/recipient/alfred-brownell/" TargetMode="External"/><Relationship Id="rId53" Type="http://schemas.openxmlformats.org/officeDocument/2006/relationships/hyperlink" Target="https://www.icj.org/wp-content/uploads/2019/11/Universal-Grievance-Mechanisms-Publications-Reports-Thematic-reports-2019-ENG.pdf" TargetMode="External"/><Relationship Id="rId5" Type="http://schemas.openxmlformats.org/officeDocument/2006/relationships/hyperlink" Target="https://www.ohchr.org/Documents/Issues/Business/ARP/ManchesterStudy.pdf" TargetMode="External"/><Relationship Id="rId10" Type="http://schemas.openxmlformats.org/officeDocument/2006/relationships/hyperlink" Target="https://ssrn.com/abstract=2865356" TargetMode="External"/><Relationship Id="rId19" Type="http://schemas.openxmlformats.org/officeDocument/2006/relationships/hyperlink" Target="https://news.mongabay.com/by/morgan-erickson-davis/" TargetMode="External"/><Relationship Id="rId31" Type="http://schemas.openxmlformats.org/officeDocument/2006/relationships/hyperlink" Target="https://msi-database.org/data/The%20New%20Regulators%20-%20MSI%20Database%20Report.pdf" TargetMode="External"/><Relationship Id="rId44" Type="http://schemas.openxmlformats.org/officeDocument/2006/relationships/hyperlink" Target="https://askrspo.force.com/Complaint/s/case/50090000028ErzuAAC/" TargetMode="External"/><Relationship Id="rId52" Type="http://schemas.openxmlformats.org/officeDocument/2006/relationships/hyperlink" Target="https://www.globalwitness.org/en/archive/communities-protest-uks-equatorial-palm-oil-poised-seize-land-liberia/" TargetMode="External"/><Relationship Id="rId4" Type="http://schemas.openxmlformats.org/officeDocument/2006/relationships/hyperlink" Target="https://www.ohchr.org/Documents/Issues/Business/DomesticLawRemedies/ARPII_%20DiscussionpaperonPhase2forUNForum_FINAL.pdf" TargetMode="External"/><Relationship Id="rId9" Type="http://schemas.openxmlformats.org/officeDocument/2006/relationships/hyperlink" Target="https://www.corporatebenchmark.org/sites/default/files/2019-11/CHRB%202019%20Methodology%20AGAPEX%2016Jan19.pdf" TargetMode="External"/><Relationship Id="rId14" Type="http://schemas.openxmlformats.org/officeDocument/2006/relationships/hyperlink" Target="https://rspo.org/about" TargetMode="External"/><Relationship Id="rId22" Type="http://schemas.openxmlformats.org/officeDocument/2006/relationships/hyperlink" Target="https://www.theguardian.com/environment/2018/apr/10/iceland-to-be-first-uk-supermarket-to-cut-palm-oil-from-own-brand-products" TargetMode="External"/><Relationship Id="rId27" Type="http://schemas.openxmlformats.org/officeDocument/2006/relationships/hyperlink" Target="https://rspo.org/resources/complaints" TargetMode="External"/><Relationship Id="rId30" Type="http://schemas.openxmlformats.org/officeDocument/2006/relationships/hyperlink" Target="https://msi-database.org/" TargetMode="External"/><Relationship Id="rId35" Type="http://schemas.openxmlformats.org/officeDocument/2006/relationships/hyperlink" Target="https://www.ciel.org/reports/glass-half-full-the-state-of-accountability-in-development-finance-jan-2016/" TargetMode="External"/><Relationship Id="rId43" Type="http://schemas.openxmlformats.org/officeDocument/2006/relationships/hyperlink" Target="https://ap8.salesforce.com/sfc/p/" TargetMode="External"/><Relationship Id="rId48" Type="http://schemas.openxmlformats.org/officeDocument/2006/relationships/hyperlink" Target="https://ap8.salesforce.com/sfc/p/" TargetMode="External"/><Relationship Id="rId8" Type="http://schemas.openxmlformats.org/officeDocument/2006/relationships/hyperlink" Target="https://static1.squarespace.com/static/5df776f6866c14507f2df68a/t/5e666810b7c6ef5fcd9bf296/1583769622168/MOC-A+Report.pdf" TargetMode="External"/><Relationship Id="rId51" Type="http://schemas.openxmlformats.org/officeDocument/2006/relationships/hyperlink" Target="https://ajws.org/blog/power-people-liberian-clan-took-international-palm-oil-company-won/" TargetMode="External"/><Relationship Id="rId3" Type="http://schemas.openxmlformats.org/officeDocument/2006/relationships/hyperlink" Target="https://www.ohchr.org/Documents/Issues/Business/DomesticLawRemedies/StudyDomesticeLawRemedies.pdf" TargetMode="External"/><Relationship Id="rId12" Type="http://schemas.openxmlformats.org/officeDocument/2006/relationships/hyperlink" Target="https://corporateaccountabilityresearch.net/njm-project-publications%20(1" TargetMode="External"/><Relationship Id="rId17" Type="http://schemas.openxmlformats.org/officeDocument/2006/relationships/hyperlink" Target="https://thepalmscribe.id/sawit-watch-indonesia-has-more-than-21-million-hectares-of-oil-palm-plantations/" TargetMode="External"/><Relationship Id="rId25" Type="http://schemas.openxmlformats.org/officeDocument/2006/relationships/hyperlink" Target="https://www.rspo.org/files/resource_centre/Factsheet-RSPO-Membership.pdf" TargetMode="External"/><Relationship Id="rId33" Type="http://schemas.openxmlformats.org/officeDocument/2006/relationships/hyperlink" Target="https://www.msi-integrity.org/" TargetMode="External"/><Relationship Id="rId38" Type="http://schemas.openxmlformats.org/officeDocument/2006/relationships/hyperlink" Target="https://askrspo.force.com/Complaint/s/case/50090000028Es0xAAC/" TargetMode="External"/><Relationship Id="rId46" Type="http://schemas.openxmlformats.org/officeDocument/2006/relationships/hyperlink" Target="https://askrspo.force.com/Complaint/s/case/50090000028ErzcAAC/" TargetMode="External"/><Relationship Id="rId20" Type="http://schemas.openxmlformats.org/officeDocument/2006/relationships/hyperlink" Target="https://news.mongabay.com/2017/06/norway-bans-government-from-purchasing-palm-oil-biofuel/" TargetMode="External"/><Relationship Id="rId41" Type="http://schemas.openxmlformats.org/officeDocument/2006/relationships/hyperlink" Target="https://ajws.org/blog/power-people-liberian-clan-took-international-palm-oil-company-won/" TargetMode="External"/><Relationship Id="rId1" Type="http://schemas.openxmlformats.org/officeDocument/2006/relationships/hyperlink" Target="https://www.ohchr.org/Documents/Issues/Business/ARP/ARPIII_Discussion_Paper_Nov2019.pdf" TargetMode="External"/><Relationship Id="rId6" Type="http://schemas.openxmlformats.org/officeDocument/2006/relationships/hyperlink" Target="https://www.ipieca.org/resources/good-practice/community-grievance-mechanisms-in-the-oil-and-gas-industry/" TargetMode="External"/><Relationship Id="rId15" Type="http://schemas.openxmlformats.org/officeDocument/2006/relationships/hyperlink" Target="https://rspo.org/about/goodbadpalmoil" TargetMode="External"/><Relationship Id="rId23" Type="http://schemas.openxmlformats.org/officeDocument/2006/relationships/hyperlink" Target="https://www.selfridges.com/US/en/features/events/selfridges-selection-palm-oil-free/" TargetMode="External"/><Relationship Id="rId28" Type="http://schemas.openxmlformats.org/officeDocument/2006/relationships/hyperlink" Target="http://www.msi-integrity.org/" TargetMode="External"/><Relationship Id="rId36" Type="http://schemas.openxmlformats.org/officeDocument/2006/relationships/hyperlink" Target="https://askrspo.force.com/Complaint/s/casetracker" TargetMode="External"/><Relationship Id="rId49" Type="http://schemas.openxmlformats.org/officeDocument/2006/relationships/hyperlink" Target="https://eia-international.org/wp-content/uploads/WWtW2-sprea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AF9D-5A88-42F0-937A-57FF7FB8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Wielga</dc:creator>
  <cp:keywords/>
  <dc:description/>
  <cp:lastModifiedBy>Mark Wielga</cp:lastModifiedBy>
  <cp:revision>2</cp:revision>
  <dcterms:created xsi:type="dcterms:W3CDTF">2022-10-10T21:09:00Z</dcterms:created>
  <dcterms:modified xsi:type="dcterms:W3CDTF">2022-10-10T21:09:00Z</dcterms:modified>
</cp:coreProperties>
</file>